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docProps/core.xml" ContentType="application/vnd.openxmlformats-package.core-properties+xml"/>
  <Override PartName="/docProps/app.xml" ContentType="application/vnd.openxmlformats-officedocument.extended-properties+xml"/>
  <Override PartName="/word/theme/theme1.xml" ContentType="application/vnd.openxmlformats-officedocument.theme+xml"/>
</Types>
</file>

<file path=_rels/.rels>&#65279;<?xml version="1.0" encoding="utf-8"?><Relationships xmlns="http://schemas.openxmlformats.org/package/2006/relationships"><Relationship Id="R1" Type="http://schemas.openxmlformats.org/officeDocument/2006/relationships/officeDocument" Target="/word/document.xml" /><Relationship Id="coreR1" Type="http://schemas.openxmlformats.org/package/2006/relationships/metadata/core-properties" Target="/docProps/core.xml" /><Relationship Id="appR1" Type="http://schemas.openxmlformats.org/officeDocument/2006/relationships/extended-properties" Target="/docProps/app.xml" /></Relationships>
</file>

<file path=word/document.xml><?xml version="1.0" encoding="utf-8"?>
<w:document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xmlns:wpg="http://schemas.microsoft.com/office/word/2010/wordprocessingGroup" xmlns:wpc="http://schemas.microsoft.com/office/word/2010/wordprocessingCanvas" xmlns:w14="http://schemas.microsoft.com/office/word/2010/wordml" xmlns:w15="http://schemas.microsoft.com/office/word/2012/wordml" xmlns:cx1="http://schemas.microsoft.com/office/drawing/2015/9/8/chartex" xmlns:cx2="http://schemas.microsoft.com/office/drawing/2015/10/21/chartex" mc:Ignorable="wp14 w14 w15">
  <w:body>
    <w:tbl>
      <w:tblPr>
        <w:tblW w:w="0" w:type="auto"/>
        <w:tblInd w:w="0" w:type="dxa"/>
        <w:tblBorders>
          <w:top w:val="none" w:sz="6" w:space="0" w:shadow="0" w:frame="0" w:color="000000"/>
          <w:left w:val="none" w:sz="6" w:space="0" w:shadow="0" w:frame="0" w:color="000000"/>
          <w:bottom w:val="none" w:sz="6" w:space="0" w:shadow="0" w:frame="0" w:color="000000"/>
          <w:right w:val="none" w:sz="6" w:space="0" w:shadow="0" w:frame="0" w:color="000000"/>
          <w:insideH w:val="none" w:sz="6" w:space="0" w:shadow="0" w:frame="0" w:color="000000"/>
          <w:insideV w:val="none" w:sz="6" w:space="0" w:shadow="0" w:frame="0" w:color="000000"/>
        </w:tblBorders>
        <w:tblLayout w:type="autofit"/>
        <w:tblCellMar>
          <w:top w:w="0" w:type="dxa"/>
          <w:left w:w="0" w:type="dxa"/>
          <w:bottom w:w="0" w:type="dxa"/>
          <w:right w:w="0" w:type="dxa"/>
        </w:tblCellMar>
      </w:tblPr>
      <w:tblGrid/>
      <w:tr>
        <w:tc>
          <w:tcPr>
            <w:tcW w:w="10772" w:type="dxa"/>
            <w:tcBorders>
              <w:top w:val="nil"/>
              <w:left w:val="nil"/>
              <w:bottom w:val="nil"/>
              <w:right w:val="nil"/>
            </w:tcBorders>
            <w:tcMar>
              <w:top w:w="0" w:type="dxa"/>
              <w:left w:w="108" w:type="dxa"/>
              <w:bottom w:w="0" w:type="dxa"/>
              <w:right w:w="108" w:type="dxa"/>
            </w:tcMar>
            <w:vAlign w:val="top"/>
            <w:hideMark/>
          </w:tcPr>
          <w:p>
            <w:pPr>
              <w:spacing w:before="0" w:after="0" w:beforeAutospacing="0" w:afterAutospacing="0"/>
              <w:ind w:left="0" w:right="0"/>
              <w:jc w:val="right"/>
              <w:rPr>
                <w:rFonts w:ascii="Times New Roman" w:hAnsi="Times New Roman" w:cs="Times New Roman" w:eastAsia="Times New Roman"/>
                <w:sz w:val="24"/>
              </w:rPr>
            </w:pPr>
            <w:r>
              <w:rPr>
                <w:rFonts w:ascii="Times New Roman" w:hAnsi="Times New Roman" w:cs="Times New Roman" w:eastAsia="Times New Roman"/>
                <w:sz w:val="20"/>
                <w:szCs w:val="20"/>
              </w:rPr>
              <w:t> </w:t>
            </w:r>
          </w:p>
        </w:tc>
      </w:tr>
    </w:tbl>
    <w:p>
      <w:pPr>
        <w:spacing w:before="0" w:after="0" w:beforeAutospacing="0" w:afterAutospacing="0"/>
        <w:ind w:firstLine="0" w:left="0" w:right="0"/>
        <w:outlineLvl w:val="9"/>
        <w:rPr>
          <w:rFonts w:ascii="Times New Roman" w:hAnsi="Times New Roman" w:cs="Times New Roman" w:eastAsia="Times New Roman"/>
          <w:sz w:val="24"/>
        </w:rPr>
      </w:pPr>
      <w:r>
        <w:rPr>
          <w:rFonts w:ascii="Times New Roman" w:hAnsi="Times New Roman" w:cs="Times New Roman" w:eastAsia="Times New Roman"/>
          <w:vanish w:val="1"/>
          <w:sz w:val="24"/>
          <w:szCs w:val="24"/>
        </w:rPr>
        <w:t> </w:t>
      </w:r>
    </w:p>
    <w:tbl>
      <w:tblPr>
        <w:tblW w:w="10123" w:type="dxa"/>
        <w:tblInd w:w="93" w:type="dxa"/>
        <w:tblBorders>
          <w:top w:val="none" w:sz="0" w:space="0" w:shadow="0" w:frame="0" w:color="000000"/>
          <w:left w:val="none" w:sz="0" w:space="0" w:shadow="0" w:frame="0" w:color="000000"/>
          <w:bottom w:val="none" w:sz="0" w:space="0" w:shadow="0" w:frame="0" w:color="000000"/>
          <w:right w:val="none" w:sz="0" w:space="0" w:shadow="0" w:frame="0" w:color="000000"/>
          <w:insideH w:val="none" w:sz="0" w:space="0" w:shadow="0" w:frame="0" w:color="auto"/>
          <w:insideV w:val="none" w:sz="0" w:space="0" w:shadow="0" w:frame="0" w:color="auto"/>
        </w:tblBorders>
        <w:tblLayout w:type="autofit"/>
        <w:tblCellMar>
          <w:top w:w="0" w:type="dxa"/>
          <w:left w:w="0" w:type="dxa"/>
          <w:bottom w:w="0" w:type="dxa"/>
          <w:right w:w="0" w:type="dxa"/>
        </w:tblCellMar>
      </w:tblPr>
      <w:tblGrid/>
      <w:tr>
        <w:trPr>
          <w:trHeight w:hRule="atLeast" w:val="270"/>
        </w:trPr>
        <w:tc>
          <w:tcPr>
            <w:tcW w:w="5940" w:type="dxa"/>
            <w:noWrap/>
            <w:tcMar>
              <w:top w:w="0" w:type="dxa"/>
              <w:left w:w="108" w:type="dxa"/>
              <w:bottom w:w="0" w:type="dxa"/>
              <w:right w:w="108" w:type="dxa"/>
            </w:tcMar>
            <w:vAlign w:val="bottom"/>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b w:val="1"/>
                <w:sz w:val="20"/>
                <w:szCs w:val="20"/>
              </w:rPr>
              <w:t>ПОЯСНИТЕЛЬНАЯ ЗАПИСКА</w:t>
            </w:r>
          </w:p>
        </w:tc>
        <w:tc>
          <w:tcPr>
            <w:tcW w:w="222" w:type="dxa"/>
            <w:noWrap/>
            <w:tcMar>
              <w:top w:w="0" w:type="dxa"/>
              <w:left w:w="108" w:type="dxa"/>
              <w:bottom w:w="0" w:type="dxa"/>
              <w:right w:w="108" w:type="dxa"/>
            </w:tcMar>
            <w:vAlign w:val="bottom"/>
            <w:hideMark/>
          </w:tcPr>
          <w:p>
            <w:pPr>
              <w:ind w:left="0" w:right="0"/>
              <w:rPr>
                <w:sz w:val="24"/>
              </w:rPr>
            </w:pPr>
          </w:p>
        </w:tc>
        <w:tc>
          <w:tcPr>
            <w:tcW w:w="1500" w:type="dxa"/>
            <w:noWrap/>
            <w:tcMar>
              <w:top w:w="0" w:type="dxa"/>
              <w:left w:w="108" w:type="dxa"/>
              <w:bottom w:w="0" w:type="dxa"/>
              <w:right w:w="108" w:type="dxa"/>
            </w:tcMar>
            <w:vAlign w:val="bottom"/>
            <w:hideMark/>
          </w:tcPr>
          <w:p>
            <w:pPr>
              <w:ind w:left="0" w:right="0"/>
              <w:rPr>
                <w:sz w:val="24"/>
              </w:rPr>
            </w:pPr>
          </w:p>
        </w:tc>
        <w:tc>
          <w:tcPr>
            <w:tcW w:w="2461" w:type="dxa"/>
            <w:noWrap/>
            <w:tcMar>
              <w:top w:w="0" w:type="dxa"/>
              <w:left w:w="108" w:type="dxa"/>
              <w:bottom w:w="0" w:type="dxa"/>
              <w:right w:w="108" w:type="dxa"/>
            </w:tcMar>
            <w:vAlign w:val="bottom"/>
            <w:hideMark/>
          </w:tcPr>
          <w:p>
            <w:pPr>
              <w:ind w:left="0" w:right="0"/>
              <w:rPr>
                <w:sz w:val="24"/>
              </w:rPr>
            </w:pPr>
          </w:p>
        </w:tc>
      </w:tr>
      <w:tr>
        <w:trPr>
          <w:trHeight w:hRule="atLeast" w:val="255"/>
        </w:trPr>
        <w:tc>
          <w:tcPr>
            <w:tcW w:w="5940" w:type="dxa"/>
            <w:noWrap/>
            <w:tcMar>
              <w:top w:w="0" w:type="dxa"/>
              <w:left w:w="108" w:type="dxa"/>
              <w:bottom w:w="0" w:type="dxa"/>
              <w:right w:w="108" w:type="dxa"/>
            </w:tcMar>
            <w:vAlign w:val="bottom"/>
            <w:hideMark/>
          </w:tcPr>
          <w:p>
            <w:pPr>
              <w:ind w:left="0" w:right="0"/>
              <w:rPr>
                <w:sz w:val="24"/>
              </w:rPr>
            </w:pPr>
          </w:p>
        </w:tc>
        <w:tc>
          <w:tcPr>
            <w:tcW w:w="222" w:type="dxa"/>
            <w:noWrap/>
            <w:tcMar>
              <w:top w:w="0" w:type="dxa"/>
              <w:left w:w="108" w:type="dxa"/>
              <w:bottom w:w="0" w:type="dxa"/>
              <w:right w:w="108" w:type="dxa"/>
            </w:tcMar>
            <w:vAlign w:val="bottom"/>
            <w:hideMark/>
          </w:tcPr>
          <w:p>
            <w:pPr>
              <w:ind w:left="0" w:right="0"/>
              <w:rPr>
                <w:sz w:val="24"/>
              </w:rPr>
            </w:pPr>
          </w:p>
        </w:tc>
        <w:tc>
          <w:tcPr>
            <w:tcW w:w="1500" w:type="dxa"/>
            <w:noWrap/>
            <w:tcMar>
              <w:top w:w="0" w:type="dxa"/>
              <w:left w:w="108" w:type="dxa"/>
              <w:bottom w:w="0" w:type="dxa"/>
              <w:right w:w="108" w:type="dxa"/>
            </w:tcMar>
            <w:vAlign w:val="bottom"/>
            <w:hideMark/>
          </w:tcPr>
          <w:p>
            <w:pPr>
              <w:ind w:left="0" w:right="0"/>
              <w:rPr>
                <w:sz w:val="24"/>
              </w:rPr>
            </w:pPr>
          </w:p>
        </w:tc>
        <w:tc>
          <w:tcPr>
            <w:tcW w:w="2461" w:type="dxa"/>
            <w:tcBorders>
              <w:top w:val="single" w:sz="8" w:space="0" w:shadow="0" w:frame="0" w:color="000000"/>
              <w:left w:val="single" w:sz="8" w:space="0" w:shadow="0" w:frame="0" w:color="000000"/>
              <w:bottom w:val="single" w:sz="8" w:space="0" w:shadow="0" w:frame="0" w:color="000000"/>
              <w:right w:val="single" w:sz="8" w:space="0" w:shadow="0" w:frame="0" w:color="000000"/>
            </w:tcBorders>
            <w:noWrap/>
            <w:tcMar>
              <w:top w:w="0" w:type="dxa"/>
              <w:left w:w="108" w:type="dxa"/>
              <w:bottom w:w="0" w:type="dxa"/>
              <w:right w:w="108" w:type="dxa"/>
            </w:tcMar>
            <w:vAlign w:val="bottom"/>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18"/>
                <w:szCs w:val="18"/>
              </w:rPr>
              <w:t>КОДЫ</w:t>
            </w:r>
          </w:p>
        </w:tc>
      </w:tr>
      <w:tr>
        <w:trPr>
          <w:trHeight w:hRule="atLeast" w:val="282"/>
        </w:trPr>
        <w:tc>
          <w:tcPr>
            <w:tcW w:w="0" w:type="auto"/>
            <w:noWrap/>
            <w:tcMar>
              <w:top w:w="0" w:type="dxa"/>
              <w:left w:w="108" w:type="dxa"/>
              <w:bottom w:w="0" w:type="dxa"/>
              <w:right w:w="108" w:type="dxa"/>
            </w:tcMar>
            <w:vAlign w:val="bottom"/>
            <w:hideMark/>
          </w:tcPr>
          <w:p>
            <w:pPr>
              <w:ind w:left="0" w:right="0"/>
              <w:rPr>
                <w:sz w:val="24"/>
              </w:rPr>
            </w:pPr>
          </w:p>
        </w:tc>
        <w:tc>
          <w:tcPr>
            <w:tcW w:w="0" w:type="auto"/>
            <w:gridSpan w:val="2"/>
            <w:noWrap/>
            <w:tcMar>
              <w:top w:w="0" w:type="dxa"/>
              <w:left w:w="108" w:type="dxa"/>
              <w:bottom w:w="0" w:type="dxa"/>
              <w:right w:w="108" w:type="dxa"/>
            </w:tcMar>
            <w:vAlign w:val="bottom"/>
            <w:hideMark/>
          </w:tcPr>
          <w:p>
            <w:pPr>
              <w:spacing w:before="0" w:after="0" w:beforeAutospacing="0" w:afterAutospacing="0"/>
              <w:ind w:left="0" w:right="0"/>
              <w:jc w:val="right"/>
              <w:rPr>
                <w:rFonts w:ascii="Times New Roman" w:hAnsi="Times New Roman" w:cs="Times New Roman" w:eastAsia="Times New Roman"/>
                <w:sz w:val="24"/>
              </w:rPr>
            </w:pPr>
            <w:r>
              <w:rPr>
                <w:rFonts w:ascii="Times New Roman" w:hAnsi="Times New Roman" w:cs="Times New Roman" w:eastAsia="Times New Roman"/>
                <w:sz w:val="18"/>
                <w:szCs w:val="18"/>
              </w:rPr>
              <w:t>Форма по ОКУД</w:t>
            </w:r>
          </w:p>
        </w:tc>
        <w:tc>
          <w:tcPr>
            <w:tcW w:w="2461" w:type="dxa"/>
            <w:tcBorders>
              <w:top w:val="nil"/>
              <w:left w:val="single" w:sz="8" w:space="0" w:shadow="0" w:frame="0" w:color="000000"/>
              <w:bottom w:val="single" w:sz="8" w:space="0" w:shadow="0" w:frame="0" w:color="000000"/>
              <w:right w:val="single" w:sz="8" w:space="0" w:shadow="0" w:frame="0" w:color="000000"/>
            </w:tcBorders>
            <w:noWrap/>
            <w:tcMar>
              <w:top w:w="0" w:type="dxa"/>
              <w:left w:w="108" w:type="dxa"/>
              <w:bottom w:w="0" w:type="dxa"/>
              <w:right w:w="108" w:type="dxa"/>
            </w:tcMar>
            <w:vAlign w:val="bottom"/>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18"/>
                <w:szCs w:val="18"/>
              </w:rPr>
              <w:t>0503160</w:t>
            </w:r>
          </w:p>
        </w:tc>
      </w:tr>
      <w:tr>
        <w:trPr>
          <w:trHeight w:hRule="atLeast" w:val="282"/>
        </w:trPr>
        <w:tc>
          <w:tcPr>
            <w:tcW w:w="0" w:type="auto"/>
            <w:gridSpan w:val="2"/>
            <w:noWrap/>
            <w:tcMar>
              <w:top w:w="0" w:type="dxa"/>
              <w:left w:w="108" w:type="dxa"/>
              <w:bottom w:w="0" w:type="dxa"/>
              <w:right w:w="108" w:type="dxa"/>
            </w:tcMar>
            <w:vAlign w:val="bottom"/>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18"/>
                <w:szCs w:val="18"/>
              </w:rPr>
              <w:t>                          на   1 января 2025 г.</w:t>
            </w:r>
          </w:p>
        </w:tc>
        <w:tc>
          <w:tcPr>
            <w:tcW w:w="1500" w:type="dxa"/>
            <w:noWrap/>
            <w:tcMar>
              <w:top w:w="0" w:type="dxa"/>
              <w:left w:w="108" w:type="dxa"/>
              <w:bottom w:w="0" w:type="dxa"/>
              <w:right w:w="108" w:type="dxa"/>
            </w:tcMar>
            <w:vAlign w:val="bottom"/>
            <w:hideMark/>
          </w:tcPr>
          <w:p>
            <w:pPr>
              <w:spacing w:before="0" w:after="0" w:beforeAutospacing="0" w:afterAutospacing="0"/>
              <w:ind w:left="0" w:right="0"/>
              <w:jc w:val="right"/>
              <w:rPr>
                <w:rFonts w:ascii="Times New Roman" w:hAnsi="Times New Roman" w:cs="Times New Roman" w:eastAsia="Times New Roman"/>
                <w:sz w:val="24"/>
              </w:rPr>
            </w:pPr>
            <w:r>
              <w:rPr>
                <w:rFonts w:ascii="Times New Roman" w:hAnsi="Times New Roman" w:cs="Times New Roman" w:eastAsia="Times New Roman"/>
                <w:sz w:val="18"/>
                <w:szCs w:val="18"/>
              </w:rPr>
              <w:t> Дата</w:t>
            </w:r>
          </w:p>
        </w:tc>
        <w:tc>
          <w:tcPr>
            <w:tcW w:w="2461" w:type="dxa"/>
            <w:tcBorders>
              <w:top w:val="nil"/>
              <w:left w:val="single" w:sz="8" w:space="0" w:shadow="0" w:frame="0" w:color="000000"/>
              <w:bottom w:val="single" w:sz="8" w:space="0" w:shadow="0" w:frame="0" w:color="000000"/>
              <w:right w:val="single" w:sz="8" w:space="0" w:shadow="0" w:frame="0" w:color="000000"/>
            </w:tcBorders>
            <w:noWrap/>
            <w:tcMar>
              <w:top w:w="0" w:type="dxa"/>
              <w:left w:w="108" w:type="dxa"/>
              <w:bottom w:w="0" w:type="dxa"/>
              <w:right w:w="108" w:type="dxa"/>
            </w:tcMar>
            <w:vAlign w:val="bottom"/>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18"/>
                <w:szCs w:val="18"/>
              </w:rPr>
              <w:t>01.01.2025</w:t>
            </w:r>
          </w:p>
        </w:tc>
      </w:tr>
      <w:tr>
        <w:trPr>
          <w:trHeight w:hRule="atLeast" w:val="300"/>
        </w:trPr>
        <w:tc>
          <w:tcPr>
            <w:tcW w:w="5940" w:type="dxa"/>
            <w:noWrap/>
            <w:tcMar>
              <w:top w:w="0" w:type="dxa"/>
              <w:left w:w="108" w:type="dxa"/>
              <w:bottom w:w="0" w:type="dxa"/>
              <w:right w:w="108" w:type="dxa"/>
            </w:tcMar>
            <w:vAlign w:val="bottom"/>
            <w:hideMark/>
          </w:tcPr>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18"/>
                <w:szCs w:val="18"/>
              </w:rPr>
              <w:t>Главный распорядитель, распорядитель,</w:t>
            </w:r>
          </w:p>
        </w:tc>
        <w:tc>
          <w:tcPr>
            <w:tcW w:w="222" w:type="dxa"/>
            <w:noWrap/>
            <w:tcMar>
              <w:top w:w="0" w:type="dxa"/>
              <w:left w:w="108" w:type="dxa"/>
              <w:bottom w:w="0" w:type="dxa"/>
              <w:right w:w="108" w:type="dxa"/>
            </w:tcMar>
            <w:vAlign w:val="bottom"/>
            <w:hideMark/>
          </w:tcPr>
          <w:p>
            <w:pPr>
              <w:ind w:left="0" w:right="0"/>
              <w:rPr>
                <w:sz w:val="24"/>
              </w:rPr>
            </w:pPr>
          </w:p>
        </w:tc>
        <w:tc>
          <w:tcPr>
            <w:tcW w:w="1500" w:type="dxa"/>
            <w:noWrap/>
            <w:tcMar>
              <w:top w:w="0" w:type="dxa"/>
              <w:left w:w="108" w:type="dxa"/>
              <w:bottom w:w="0" w:type="dxa"/>
              <w:right w:w="108" w:type="dxa"/>
            </w:tcMar>
            <w:vAlign w:val="bottom"/>
            <w:hideMark/>
          </w:tcPr>
          <w:p>
            <w:pPr>
              <w:spacing w:before="0" w:after="0" w:beforeAutospacing="0" w:afterAutospacing="0"/>
              <w:ind w:left="0" w:right="0"/>
              <w:jc w:val="right"/>
              <w:rPr>
                <w:rFonts w:ascii="Times New Roman" w:hAnsi="Times New Roman" w:cs="Times New Roman" w:eastAsia="Times New Roman"/>
                <w:sz w:val="24"/>
              </w:rPr>
            </w:pPr>
            <w:r>
              <w:rPr>
                <w:rFonts w:ascii="Times New Roman" w:hAnsi="Times New Roman" w:cs="Times New Roman" w:eastAsia="Times New Roman"/>
                <w:sz w:val="18"/>
                <w:szCs w:val="18"/>
              </w:rPr>
              <w:t>Код субъекта бюджетной отчетности</w:t>
            </w:r>
          </w:p>
        </w:tc>
        <w:tc>
          <w:tcPr>
            <w:tcW w:w="2461" w:type="dxa"/>
            <w:tcBorders>
              <w:top w:val="nil"/>
              <w:left w:val="single" w:sz="8" w:space="0" w:shadow="0" w:frame="0" w:color="000000"/>
              <w:bottom w:val="nil"/>
              <w:right w:val="single" w:sz="8" w:space="0" w:shadow="0" w:frame="0" w:color="000000"/>
            </w:tcBorders>
            <w:noWrap/>
            <w:tcMar>
              <w:top w:w="0" w:type="dxa"/>
              <w:left w:w="108" w:type="dxa"/>
              <w:bottom w:w="0" w:type="dxa"/>
              <w:right w:w="108" w:type="dxa"/>
            </w:tcMar>
            <w:vAlign w:val="bottom"/>
            <w:hideMark/>
          </w:tcPr>
          <w:p>
            <w:pPr>
              <w:spacing w:lineRule="auto" w:line="300"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18"/>
                <w:szCs w:val="18"/>
              </w:rPr>
              <w:t>ГРБС</w:t>
            </w:r>
          </w:p>
        </w:tc>
      </w:tr>
      <w:tr>
        <w:trPr>
          <w:trHeight w:hRule="atLeast" w:val="195"/>
        </w:trPr>
        <w:tc>
          <w:tcPr>
            <w:tcW w:w="5940" w:type="dxa"/>
            <w:noWrap/>
            <w:tcMar>
              <w:top w:w="0" w:type="dxa"/>
              <w:left w:w="108" w:type="dxa"/>
              <w:bottom w:w="0" w:type="dxa"/>
              <w:right w:w="108" w:type="dxa"/>
            </w:tcMar>
            <w:vAlign w:val="bottom"/>
            <w:hideMark/>
          </w:tcPr>
          <w:p>
            <w:pPr>
              <w:spacing w:lineRule="atLeast" w:line="195"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18"/>
                <w:szCs w:val="18"/>
              </w:rPr>
              <w:t>получатель бюджетных средств, главный администратор,   </w:t>
            </w:r>
          </w:p>
        </w:tc>
        <w:tc>
          <w:tcPr>
            <w:tcW w:w="222" w:type="dxa"/>
            <w:noWrap/>
            <w:tcMar>
              <w:top w:w="0" w:type="dxa"/>
              <w:left w:w="108" w:type="dxa"/>
              <w:bottom w:w="0" w:type="dxa"/>
              <w:right w:w="108" w:type="dxa"/>
            </w:tcMar>
            <w:vAlign w:val="bottom"/>
            <w:hideMark/>
          </w:tcPr>
          <w:p>
            <w:pPr>
              <w:ind w:left="0" w:right="0"/>
              <w:rPr>
                <w:sz w:val="20"/>
              </w:rPr>
            </w:pPr>
          </w:p>
        </w:tc>
        <w:tc>
          <w:tcPr>
            <w:tcW w:w="1500" w:type="dxa"/>
            <w:noWrap/>
            <w:tcMar>
              <w:top w:w="0" w:type="dxa"/>
              <w:left w:w="108" w:type="dxa"/>
              <w:bottom w:w="0" w:type="dxa"/>
              <w:right w:w="108" w:type="dxa"/>
            </w:tcMar>
            <w:vAlign w:val="bottom"/>
            <w:hideMark/>
          </w:tcPr>
          <w:p>
            <w:pPr>
              <w:ind w:left="0" w:right="0"/>
              <w:rPr>
                <w:sz w:val="20"/>
              </w:rPr>
            </w:pPr>
          </w:p>
        </w:tc>
        <w:tc>
          <w:tcPr>
            <w:tcW w:w="2461" w:type="dxa"/>
            <w:tcBorders>
              <w:top w:val="nil"/>
              <w:left w:val="single" w:sz="8" w:space="0" w:shadow="0" w:frame="0" w:color="000000"/>
              <w:bottom w:val="single" w:sz="8" w:space="0" w:shadow="0" w:frame="0" w:color="000000"/>
              <w:right w:val="single" w:sz="8" w:space="0" w:shadow="0" w:frame="0" w:color="000000"/>
            </w:tcBorders>
            <w:noWrap/>
            <w:tcMar>
              <w:top w:w="0" w:type="dxa"/>
              <w:left w:w="108" w:type="dxa"/>
              <w:bottom w:w="0" w:type="dxa"/>
              <w:right w:w="108" w:type="dxa"/>
            </w:tcMar>
            <w:vAlign w:val="bottom"/>
            <w:hideMark/>
          </w:tcPr>
          <w:p>
            <w:pPr>
              <w:ind w:left="0" w:right="0"/>
              <w:rPr>
                <w:sz w:val="20"/>
              </w:rPr>
            </w:pPr>
          </w:p>
        </w:tc>
      </w:tr>
      <w:tr>
        <w:trPr>
          <w:trHeight w:hRule="atLeast" w:val="195"/>
        </w:trPr>
        <w:tc>
          <w:tcPr>
            <w:tcW w:w="5940" w:type="dxa"/>
            <w:noWrap/>
            <w:tcMar>
              <w:top w:w="0" w:type="dxa"/>
              <w:left w:w="108" w:type="dxa"/>
              <w:bottom w:w="0" w:type="dxa"/>
              <w:right w:w="108" w:type="dxa"/>
            </w:tcMar>
            <w:vAlign w:val="bottom"/>
            <w:hideMark/>
          </w:tcPr>
          <w:p>
            <w:pPr>
              <w:spacing w:lineRule="atLeast" w:line="195"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18"/>
                <w:szCs w:val="18"/>
              </w:rPr>
              <w:t>администратор доходов бюджета,</w:t>
            </w:r>
          </w:p>
        </w:tc>
        <w:tc>
          <w:tcPr>
            <w:tcW w:w="222" w:type="dxa"/>
            <w:noWrap/>
            <w:tcMar>
              <w:top w:w="0" w:type="dxa"/>
              <w:left w:w="108" w:type="dxa"/>
              <w:bottom w:w="0" w:type="dxa"/>
              <w:right w:w="108" w:type="dxa"/>
            </w:tcMar>
            <w:vAlign w:val="bottom"/>
            <w:hideMark/>
          </w:tcPr>
          <w:p>
            <w:pPr>
              <w:ind w:left="0" w:right="0"/>
              <w:rPr>
                <w:sz w:val="20"/>
              </w:rPr>
            </w:pPr>
          </w:p>
        </w:tc>
        <w:tc>
          <w:tcPr>
            <w:tcW w:w="1500" w:type="dxa"/>
            <w:noWrap/>
            <w:tcMar>
              <w:top w:w="0" w:type="dxa"/>
              <w:left w:w="108" w:type="dxa"/>
              <w:bottom w:w="0" w:type="dxa"/>
              <w:right w:w="108" w:type="dxa"/>
            </w:tcMar>
            <w:vAlign w:val="bottom"/>
            <w:hideMark/>
          </w:tcPr>
          <w:p>
            <w:pPr>
              <w:spacing w:lineRule="atLeast" w:line="195" w:before="0" w:after="0" w:beforeAutospacing="0" w:afterAutospacing="0"/>
              <w:ind w:left="0" w:right="0"/>
              <w:jc w:val="right"/>
              <w:rPr>
                <w:rFonts w:ascii="Times New Roman" w:hAnsi="Times New Roman" w:cs="Times New Roman" w:eastAsia="Times New Roman"/>
                <w:sz w:val="24"/>
              </w:rPr>
            </w:pPr>
            <w:r>
              <w:rPr>
                <w:rFonts w:ascii="Times New Roman" w:hAnsi="Times New Roman" w:cs="Times New Roman" w:eastAsia="Times New Roman"/>
                <w:sz w:val="18"/>
                <w:szCs w:val="18"/>
              </w:rPr>
              <w:t>по ОКПО</w:t>
            </w:r>
          </w:p>
        </w:tc>
        <w:tc>
          <w:tcPr>
            <w:tcW w:w="2461" w:type="dxa"/>
            <w:tcBorders>
              <w:top w:val="nil"/>
              <w:left w:val="single" w:sz="8" w:space="0" w:shadow="0" w:frame="0" w:color="000000"/>
              <w:bottom w:val="nil"/>
              <w:right w:val="single" w:sz="8" w:space="0" w:shadow="0" w:frame="0" w:color="000000"/>
            </w:tcBorders>
            <w:noWrap/>
            <w:tcMar>
              <w:top w:w="0" w:type="dxa"/>
              <w:left w:w="108" w:type="dxa"/>
              <w:bottom w:w="0" w:type="dxa"/>
              <w:right w:w="108" w:type="dxa"/>
            </w:tcMar>
            <w:vAlign w:val="bottom"/>
            <w:hideMark/>
          </w:tcPr>
          <w:p>
            <w:pPr>
              <w:spacing w:lineRule="atLeast" w:line="195"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18"/>
                <w:szCs w:val="18"/>
              </w:rPr>
              <w:t>27751786</w:t>
            </w:r>
          </w:p>
        </w:tc>
      </w:tr>
      <w:tr>
        <w:trPr>
          <w:trHeight w:hRule="atLeast" w:val="195"/>
        </w:trPr>
        <w:tc>
          <w:tcPr>
            <w:tcW w:w="5940" w:type="dxa"/>
            <w:noWrap/>
            <w:tcMar>
              <w:top w:w="0" w:type="dxa"/>
              <w:left w:w="108" w:type="dxa"/>
              <w:bottom w:w="0" w:type="dxa"/>
              <w:right w:w="108" w:type="dxa"/>
            </w:tcMar>
            <w:vAlign w:val="bottom"/>
            <w:hideMark/>
          </w:tcPr>
          <w:p>
            <w:pPr>
              <w:spacing w:lineRule="atLeast" w:line="195"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18"/>
                <w:szCs w:val="18"/>
              </w:rPr>
              <w:t xml:space="preserve">главный администратор, администратор </w:t>
            </w:r>
          </w:p>
        </w:tc>
        <w:tc>
          <w:tcPr>
            <w:tcW w:w="222" w:type="dxa"/>
            <w:noWrap/>
            <w:tcMar>
              <w:top w:w="0" w:type="dxa"/>
              <w:left w:w="108" w:type="dxa"/>
              <w:bottom w:w="0" w:type="dxa"/>
              <w:right w:w="108" w:type="dxa"/>
            </w:tcMar>
            <w:vAlign w:val="bottom"/>
            <w:hideMark/>
          </w:tcPr>
          <w:p>
            <w:pPr>
              <w:ind w:left="0" w:right="0"/>
              <w:rPr>
                <w:sz w:val="20"/>
              </w:rPr>
            </w:pPr>
          </w:p>
        </w:tc>
        <w:tc>
          <w:tcPr>
            <w:tcW w:w="1500" w:type="dxa"/>
            <w:noWrap/>
            <w:tcMar>
              <w:top w:w="0" w:type="dxa"/>
              <w:left w:w="108" w:type="dxa"/>
              <w:bottom w:w="0" w:type="dxa"/>
              <w:right w:w="108" w:type="dxa"/>
            </w:tcMar>
            <w:vAlign w:val="bottom"/>
            <w:hideMark/>
          </w:tcPr>
          <w:p>
            <w:pPr>
              <w:ind w:left="0" w:right="0"/>
              <w:rPr>
                <w:sz w:val="20"/>
              </w:rPr>
            </w:pPr>
          </w:p>
        </w:tc>
        <w:tc>
          <w:tcPr>
            <w:tcW w:w="2461" w:type="dxa"/>
            <w:tcBorders>
              <w:top w:val="single" w:sz="8" w:space="0" w:shadow="0" w:frame="0" w:color="000000"/>
              <w:left w:val="single" w:sz="8" w:space="0" w:shadow="0" w:frame="0" w:color="000000"/>
              <w:bottom w:val="nil"/>
              <w:right w:val="single" w:sz="8" w:space="0" w:shadow="0" w:frame="0" w:color="000000"/>
            </w:tcBorders>
            <w:noWrap/>
            <w:tcMar>
              <w:top w:w="0" w:type="dxa"/>
              <w:left w:w="108" w:type="dxa"/>
              <w:bottom w:w="0" w:type="dxa"/>
              <w:right w:w="108" w:type="dxa"/>
            </w:tcMar>
            <w:vAlign w:val="bottom"/>
            <w:hideMark/>
          </w:tcPr>
          <w:p>
            <w:pPr>
              <w:ind w:left="0" w:right="0"/>
              <w:rPr>
                <w:sz w:val="20"/>
              </w:rPr>
            </w:pPr>
          </w:p>
        </w:tc>
      </w:tr>
      <w:tr>
        <w:trPr>
          <w:trHeight w:hRule="atLeast" w:val="195"/>
        </w:trPr>
        <w:tc>
          <w:tcPr>
            <w:tcW w:w="5940" w:type="dxa"/>
            <w:noWrap/>
            <w:tcMar>
              <w:top w:w="0" w:type="dxa"/>
              <w:left w:w="108" w:type="dxa"/>
              <w:bottom w:w="0" w:type="dxa"/>
              <w:right w:w="108" w:type="dxa"/>
            </w:tcMar>
            <w:vAlign w:val="bottom"/>
            <w:hideMark/>
          </w:tcPr>
          <w:p>
            <w:pPr>
              <w:spacing w:lineRule="atLeast" w:line="195"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18"/>
                <w:szCs w:val="18"/>
              </w:rPr>
              <w:t>администратор источников финансирования</w:t>
            </w:r>
          </w:p>
        </w:tc>
        <w:tc>
          <w:tcPr>
            <w:tcW w:w="222" w:type="dxa"/>
            <w:noWrap/>
            <w:tcMar>
              <w:top w:w="0" w:type="dxa"/>
              <w:left w:w="108" w:type="dxa"/>
              <w:bottom w:w="0" w:type="dxa"/>
              <w:right w:w="108" w:type="dxa"/>
            </w:tcMar>
            <w:vAlign w:val="bottom"/>
            <w:hideMark/>
          </w:tcPr>
          <w:p>
            <w:pPr>
              <w:ind w:left="0" w:right="0"/>
              <w:rPr>
                <w:sz w:val="20"/>
              </w:rPr>
            </w:pPr>
          </w:p>
        </w:tc>
        <w:tc>
          <w:tcPr>
            <w:tcW w:w="1500" w:type="dxa"/>
            <w:noWrap/>
            <w:tcMar>
              <w:top w:w="0" w:type="dxa"/>
              <w:left w:w="108" w:type="dxa"/>
              <w:bottom w:w="0" w:type="dxa"/>
              <w:right w:w="108" w:type="dxa"/>
            </w:tcMar>
            <w:vAlign w:val="bottom"/>
            <w:hideMark/>
          </w:tcPr>
          <w:p>
            <w:pPr>
              <w:ind w:left="0" w:right="0"/>
              <w:rPr>
                <w:sz w:val="20"/>
              </w:rPr>
            </w:pPr>
          </w:p>
        </w:tc>
        <w:tc>
          <w:tcPr>
            <w:tcW w:w="2461" w:type="dxa"/>
            <w:tcBorders>
              <w:top w:val="nil"/>
              <w:left w:val="single" w:sz="8" w:space="0" w:shadow="0" w:frame="0" w:color="000000"/>
              <w:bottom w:val="nil"/>
              <w:right w:val="single" w:sz="8" w:space="0" w:shadow="0" w:frame="0" w:color="000000"/>
            </w:tcBorders>
            <w:noWrap/>
            <w:tcMar>
              <w:top w:w="0" w:type="dxa"/>
              <w:left w:w="108" w:type="dxa"/>
              <w:bottom w:w="0" w:type="dxa"/>
              <w:right w:w="108" w:type="dxa"/>
            </w:tcMar>
            <w:vAlign w:val="bottom"/>
            <w:hideMark/>
          </w:tcPr>
          <w:p>
            <w:pPr>
              <w:ind w:left="0" w:right="0"/>
              <w:rPr>
                <w:sz w:val="20"/>
              </w:rPr>
            </w:pPr>
          </w:p>
        </w:tc>
      </w:tr>
      <w:tr>
        <w:tc>
          <w:tcPr>
            <w:tcW w:w="0" w:type="auto"/>
            <w:gridSpan w:val="2"/>
            <w:tcMar>
              <w:top w:w="0" w:type="dxa"/>
              <w:left w:w="108" w:type="dxa"/>
              <w:bottom w:w="0" w:type="dxa"/>
              <w:right w:w="108" w:type="dxa"/>
            </w:tcMar>
            <w:vAlign w:val="bottom"/>
            <w:hideMark/>
          </w:tcPr>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18"/>
                <w:szCs w:val="18"/>
              </w:rPr>
              <w:t xml:space="preserve">дефицита бюджета </w:t>
            </w:r>
            <w:r>
              <w:rPr>
                <w:rFonts w:ascii="Times New Roman" w:hAnsi="Times New Roman" w:cs="Times New Roman" w:eastAsia="Times New Roman"/>
                <w:sz w:val="18"/>
                <w:szCs w:val="18"/>
                <w:u w:val="single"/>
              </w:rPr>
              <w:t>МИНИСТЕРСТВО ЖИЛИЩНО-КОММУНАЛЬНОГО ХОЗЯЙСТВА И ГРАЖДАНСКОЙ ЗАЩИТЫ НАСЕЛЕНИЯ ПЕНЗЕНСКОЙ ОБЛАСТИ</w:t>
            </w:r>
            <w:r>
              <w:rPr>
                <w:rFonts w:ascii="Times New Roman" w:hAnsi="Times New Roman" w:cs="Times New Roman" w:eastAsia="Times New Roman"/>
                <w:sz w:val="18"/>
                <w:szCs w:val="18"/>
              </w:rPr>
              <w:t>         </w:t>
            </w:r>
          </w:p>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24"/>
                <w:szCs w:val="24"/>
              </w:rPr>
              <w:t> </w:t>
            </w:r>
          </w:p>
        </w:tc>
        <w:tc>
          <w:tcPr>
            <w:tcW w:w="1500" w:type="dxa"/>
            <w:noWrap/>
            <w:tcMar>
              <w:top w:w="0" w:type="dxa"/>
              <w:left w:w="108" w:type="dxa"/>
              <w:bottom w:w="0" w:type="dxa"/>
              <w:right w:w="108" w:type="dxa"/>
            </w:tcMar>
            <w:vAlign w:val="bottom"/>
            <w:hideMark/>
          </w:tcPr>
          <w:p>
            <w:pPr>
              <w:spacing w:before="0" w:after="0" w:beforeAutospacing="0" w:afterAutospacing="0"/>
              <w:ind w:left="0" w:right="0"/>
              <w:jc w:val="right"/>
              <w:rPr>
                <w:rFonts w:ascii="Times New Roman" w:hAnsi="Times New Roman" w:cs="Times New Roman" w:eastAsia="Times New Roman"/>
                <w:sz w:val="24"/>
              </w:rPr>
            </w:pPr>
            <w:r>
              <w:rPr>
                <w:rFonts w:ascii="Times New Roman" w:hAnsi="Times New Roman" w:cs="Times New Roman" w:eastAsia="Times New Roman"/>
                <w:sz w:val="18"/>
                <w:szCs w:val="18"/>
              </w:rPr>
              <w:t>Глава по БК</w:t>
            </w:r>
          </w:p>
        </w:tc>
        <w:tc>
          <w:tcPr>
            <w:tcW w:w="2461" w:type="dxa"/>
            <w:tcBorders>
              <w:top w:val="nil"/>
              <w:left w:val="single" w:sz="8" w:space="0" w:shadow="0" w:frame="0" w:color="000000"/>
              <w:bottom w:val="single" w:sz="8" w:space="0" w:shadow="0" w:frame="0" w:color="000000"/>
              <w:right w:val="single" w:sz="8" w:space="0" w:shadow="0" w:frame="0" w:color="000000"/>
            </w:tcBorders>
            <w:noWrap/>
            <w:tcMar>
              <w:top w:w="0" w:type="dxa"/>
              <w:left w:w="108" w:type="dxa"/>
              <w:bottom w:w="0" w:type="dxa"/>
              <w:right w:w="108" w:type="dxa"/>
            </w:tcMar>
            <w:vAlign w:val="bottom"/>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18"/>
                <w:szCs w:val="18"/>
              </w:rPr>
              <w:t>840</w:t>
            </w:r>
          </w:p>
        </w:tc>
      </w:tr>
      <w:tr>
        <w:trPr>
          <w:trHeight w:hRule="atLeast" w:val="280"/>
        </w:trPr>
        <w:tc>
          <w:tcPr>
            <w:tcW w:w="5940" w:type="dxa"/>
            <w:noWrap/>
            <w:tcMar>
              <w:top w:w="0" w:type="dxa"/>
              <w:left w:w="108" w:type="dxa"/>
              <w:bottom w:w="0" w:type="dxa"/>
              <w:right w:w="108" w:type="dxa"/>
            </w:tcMar>
            <w:vAlign w:val="bottom"/>
            <w:hideMark/>
          </w:tcPr>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18"/>
                <w:szCs w:val="18"/>
              </w:rPr>
              <w:t xml:space="preserve">Наименование бюджета </w:t>
            </w:r>
          </w:p>
        </w:tc>
        <w:tc>
          <w:tcPr>
            <w:tcW w:w="222" w:type="dxa"/>
            <w:noWrap/>
            <w:tcMar>
              <w:top w:w="0" w:type="dxa"/>
              <w:left w:w="108" w:type="dxa"/>
              <w:bottom w:w="0" w:type="dxa"/>
              <w:right w:w="108" w:type="dxa"/>
            </w:tcMar>
            <w:vAlign w:val="bottom"/>
            <w:hideMark/>
          </w:tcPr>
          <w:p>
            <w:pPr>
              <w:ind w:left="0" w:right="0"/>
              <w:rPr>
                <w:sz w:val="24"/>
              </w:rPr>
            </w:pPr>
          </w:p>
        </w:tc>
        <w:tc>
          <w:tcPr>
            <w:tcW w:w="1500" w:type="dxa"/>
            <w:noWrap/>
            <w:tcMar>
              <w:top w:w="0" w:type="dxa"/>
              <w:left w:w="108" w:type="dxa"/>
              <w:bottom w:w="0" w:type="dxa"/>
              <w:right w:w="108" w:type="dxa"/>
            </w:tcMar>
            <w:vAlign w:val="bottom"/>
            <w:hideMark/>
          </w:tcPr>
          <w:p>
            <w:pPr>
              <w:ind w:left="0" w:right="0"/>
              <w:rPr>
                <w:sz w:val="24"/>
              </w:rPr>
            </w:pPr>
          </w:p>
        </w:tc>
        <w:tc>
          <w:tcPr>
            <w:tcW w:w="2461" w:type="dxa"/>
            <w:tcBorders>
              <w:top w:val="nil"/>
              <w:left w:val="single" w:sz="8" w:space="0" w:shadow="0" w:frame="0" w:color="000000"/>
              <w:bottom w:val="nil"/>
              <w:right w:val="single" w:sz="8" w:space="0" w:shadow="0" w:frame="0" w:color="000000"/>
            </w:tcBorders>
            <w:noWrap/>
            <w:tcMar>
              <w:top w:w="0" w:type="dxa"/>
              <w:left w:w="108" w:type="dxa"/>
              <w:bottom w:w="0" w:type="dxa"/>
              <w:right w:w="108" w:type="dxa"/>
            </w:tcMar>
            <w:vAlign w:val="bottom"/>
            <w:hideMark/>
          </w:tcPr>
          <w:p>
            <w:pPr>
              <w:ind w:left="0" w:right="0"/>
              <w:rPr>
                <w:sz w:val="24"/>
              </w:rPr>
            </w:pPr>
          </w:p>
        </w:tc>
      </w:tr>
      <w:tr>
        <w:trPr>
          <w:trHeight w:hRule="atLeast" w:val="210"/>
        </w:trPr>
        <w:tc>
          <w:tcPr>
            <w:tcW w:w="0" w:type="auto"/>
            <w:gridSpan w:val="2"/>
            <w:noWrap/>
            <w:tcMar>
              <w:top w:w="0" w:type="dxa"/>
              <w:left w:w="108" w:type="dxa"/>
              <w:bottom w:w="0" w:type="dxa"/>
              <w:right w:w="108" w:type="dxa"/>
            </w:tcMar>
            <w:vAlign w:val="bottom"/>
            <w:hideMark/>
          </w:tcPr>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18"/>
                <w:szCs w:val="18"/>
              </w:rPr>
              <w:t xml:space="preserve">(публично-правового образования) </w:t>
            </w:r>
            <w:r>
              <w:rPr>
                <w:rFonts w:ascii="Times New Roman" w:hAnsi="Times New Roman" w:cs="Times New Roman" w:eastAsia="Times New Roman"/>
                <w:sz w:val="18"/>
                <w:szCs w:val="18"/>
                <w:u w:val="single"/>
              </w:rPr>
              <w:t xml:space="preserve">Бюджет </w:t>
            </w:r>
            <w:r>
              <w:rPr>
                <w:rFonts w:ascii="Times New Roman" w:hAnsi="Times New Roman" w:cs="Times New Roman" w:eastAsia="Times New Roman"/>
                <w:sz w:val="18"/>
                <w:szCs w:val="18"/>
                <w:u w:val="single"/>
                <w:rtl w:val="0"/>
                <w:lang w:val="ru-RU" w:bidi="ru-RU" w:eastAsia="ru-RU"/>
              </w:rPr>
              <w:t>Пензенской области</w:t>
            </w:r>
            <w:r>
              <w:rPr>
                <w:rFonts w:ascii="Times New Roman" w:hAnsi="Times New Roman" w:cs="Times New Roman" w:eastAsia="Times New Roman"/>
                <w:sz w:val="18"/>
                <w:szCs w:val="18"/>
              </w:rPr>
              <w:t xml:space="preserve">   </w:t>
            </w:r>
          </w:p>
        </w:tc>
        <w:tc>
          <w:tcPr>
            <w:tcW w:w="1500" w:type="dxa"/>
            <w:noWrap/>
            <w:tcMar>
              <w:top w:w="0" w:type="dxa"/>
              <w:left w:w="108" w:type="dxa"/>
              <w:bottom w:w="0" w:type="dxa"/>
              <w:right w:w="108" w:type="dxa"/>
            </w:tcMar>
            <w:vAlign w:val="bottom"/>
            <w:hideMark/>
          </w:tcPr>
          <w:p>
            <w:pPr>
              <w:spacing w:lineRule="atLeast" w:line="210" w:before="0" w:after="0" w:beforeAutospacing="0" w:afterAutospacing="0"/>
              <w:ind w:left="0" w:right="0"/>
              <w:jc w:val="right"/>
              <w:rPr>
                <w:rFonts w:ascii="Times New Roman" w:hAnsi="Times New Roman" w:cs="Times New Roman" w:eastAsia="Times New Roman"/>
                <w:sz w:val="24"/>
              </w:rPr>
            </w:pPr>
            <w:r>
              <w:rPr>
                <w:rFonts w:ascii="Times New Roman" w:hAnsi="Times New Roman" w:cs="Times New Roman" w:eastAsia="Times New Roman"/>
                <w:sz w:val="18"/>
                <w:szCs w:val="18"/>
              </w:rPr>
              <w:t>по ОКТМО</w:t>
            </w:r>
          </w:p>
        </w:tc>
        <w:tc>
          <w:tcPr>
            <w:tcW w:w="2461" w:type="dxa"/>
            <w:tcBorders>
              <w:top w:val="nil"/>
              <w:left w:val="single" w:sz="8" w:space="0" w:shadow="0" w:frame="0" w:color="000000"/>
              <w:bottom w:val="nil"/>
              <w:right w:val="single" w:sz="8" w:space="0" w:shadow="0" w:frame="0" w:color="000000"/>
            </w:tcBorders>
            <w:noWrap/>
            <w:tcMar>
              <w:top w:w="0" w:type="dxa"/>
              <w:left w:w="108" w:type="dxa"/>
              <w:bottom w:w="0" w:type="dxa"/>
              <w:right w:w="108" w:type="dxa"/>
            </w:tcMar>
            <w:vAlign w:val="bottom"/>
            <w:hideMark/>
          </w:tcPr>
          <w:p>
            <w:pPr>
              <w:spacing w:lineRule="atLeast" w:line="210"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15"/>
                <w:szCs w:val="15"/>
              </w:rPr>
              <w:t>56000000</w:t>
            </w:r>
          </w:p>
        </w:tc>
      </w:tr>
      <w:tr>
        <w:trPr>
          <w:trHeight w:hRule="atLeast" w:val="315"/>
        </w:trPr>
        <w:tc>
          <w:tcPr>
            <w:tcW w:w="5940" w:type="dxa"/>
            <w:noWrap/>
            <w:tcMar>
              <w:top w:w="0" w:type="dxa"/>
              <w:left w:w="108" w:type="dxa"/>
              <w:bottom w:w="0" w:type="dxa"/>
              <w:right w:w="108" w:type="dxa"/>
            </w:tcMar>
            <w:vAlign w:val="bottom"/>
            <w:hideMark/>
          </w:tcPr>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18"/>
                <w:szCs w:val="18"/>
              </w:rPr>
              <w:t>Периодичность:    месячная, квартальная, годовая</w:t>
            </w:r>
          </w:p>
        </w:tc>
        <w:tc>
          <w:tcPr>
            <w:tcW w:w="222" w:type="dxa"/>
            <w:noWrap/>
            <w:tcMar>
              <w:top w:w="0" w:type="dxa"/>
              <w:left w:w="108" w:type="dxa"/>
              <w:bottom w:w="0" w:type="dxa"/>
              <w:right w:w="108" w:type="dxa"/>
            </w:tcMar>
            <w:vAlign w:val="bottom"/>
            <w:hideMark/>
          </w:tcPr>
          <w:p>
            <w:pPr>
              <w:ind w:left="0" w:right="0"/>
              <w:rPr>
                <w:sz w:val="24"/>
              </w:rPr>
            </w:pPr>
          </w:p>
        </w:tc>
        <w:tc>
          <w:tcPr>
            <w:tcW w:w="1500" w:type="dxa"/>
            <w:noWrap/>
            <w:tcMar>
              <w:top w:w="0" w:type="dxa"/>
              <w:left w:w="108" w:type="dxa"/>
              <w:bottom w:w="0" w:type="dxa"/>
              <w:right w:w="108" w:type="dxa"/>
            </w:tcMar>
            <w:vAlign w:val="bottom"/>
            <w:hideMark/>
          </w:tcPr>
          <w:p>
            <w:pPr>
              <w:ind w:left="0" w:right="0"/>
              <w:rPr>
                <w:sz w:val="24"/>
              </w:rPr>
            </w:pPr>
          </w:p>
        </w:tc>
        <w:tc>
          <w:tcPr>
            <w:tcW w:w="2461" w:type="dxa"/>
            <w:tcBorders>
              <w:top w:val="single" w:sz="8" w:space="0" w:shadow="0" w:frame="0" w:color="000000"/>
              <w:left w:val="single" w:sz="8" w:space="0" w:shadow="0" w:frame="0" w:color="000000"/>
              <w:bottom w:val="nil"/>
              <w:right w:val="single" w:sz="8" w:space="0" w:shadow="0" w:frame="0" w:color="000000"/>
            </w:tcBorders>
            <w:noWrap/>
            <w:tcMar>
              <w:top w:w="0" w:type="dxa"/>
              <w:left w:w="108" w:type="dxa"/>
              <w:bottom w:w="0" w:type="dxa"/>
              <w:right w:w="108" w:type="dxa"/>
            </w:tcMar>
            <w:vAlign w:val="bottom"/>
            <w:hideMark/>
          </w:tcPr>
          <w:p>
            <w:pPr>
              <w:ind w:left="0" w:right="0"/>
              <w:rPr>
                <w:sz w:val="24"/>
              </w:rPr>
            </w:pPr>
          </w:p>
        </w:tc>
      </w:tr>
      <w:tr>
        <w:trPr>
          <w:trHeight w:hRule="atLeast" w:val="282"/>
        </w:trPr>
        <w:tc>
          <w:tcPr>
            <w:tcW w:w="0" w:type="auto"/>
            <w:noWrap/>
            <w:tcMar>
              <w:top w:w="0" w:type="dxa"/>
              <w:left w:w="108" w:type="dxa"/>
              <w:bottom w:w="0" w:type="dxa"/>
              <w:right w:w="108" w:type="dxa"/>
            </w:tcMar>
            <w:vAlign w:val="bottom"/>
            <w:hideMark/>
          </w:tcPr>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18"/>
                <w:szCs w:val="18"/>
              </w:rPr>
              <w:t>Единица измерения: руб.</w:t>
            </w:r>
          </w:p>
        </w:tc>
        <w:tc>
          <w:tcPr>
            <w:tcW w:w="222" w:type="dxa"/>
            <w:noWrap/>
            <w:tcMar>
              <w:top w:w="0" w:type="dxa"/>
              <w:left w:w="108" w:type="dxa"/>
              <w:bottom w:w="0" w:type="dxa"/>
              <w:right w:w="108" w:type="dxa"/>
            </w:tcMar>
            <w:vAlign w:val="bottom"/>
            <w:hideMark/>
          </w:tcPr>
          <w:p>
            <w:pPr>
              <w:ind w:left="0" w:right="0"/>
              <w:rPr>
                <w:sz w:val="24"/>
              </w:rPr>
            </w:pPr>
          </w:p>
        </w:tc>
        <w:tc>
          <w:tcPr>
            <w:tcW w:w="1500" w:type="dxa"/>
            <w:noWrap/>
            <w:tcMar>
              <w:top w:w="0" w:type="dxa"/>
              <w:left w:w="108" w:type="dxa"/>
              <w:bottom w:w="0" w:type="dxa"/>
              <w:right w:w="108" w:type="dxa"/>
            </w:tcMar>
            <w:vAlign w:val="bottom"/>
            <w:hideMark/>
          </w:tcPr>
          <w:p>
            <w:pPr>
              <w:spacing w:before="240" w:after="240" w:beforeAutospacing="1" w:afterAutospacing="1"/>
              <w:ind w:left="0" w:right="0"/>
              <w:jc w:val="right"/>
              <w:rPr>
                <w:rFonts w:ascii="Times New Roman" w:hAnsi="Times New Roman" w:cs="Times New Roman" w:eastAsia="Times New Roman"/>
                <w:sz w:val="24"/>
              </w:rPr>
            </w:pPr>
            <w:r>
              <w:rPr>
                <w:rFonts w:ascii="Times New Roman" w:hAnsi="Times New Roman" w:cs="Times New Roman" w:eastAsia="Times New Roman"/>
                <w:sz w:val="18"/>
                <w:szCs w:val="18"/>
              </w:rPr>
              <w:t>    по ОКЕИ</w:t>
            </w:r>
          </w:p>
        </w:tc>
        <w:tc>
          <w:tcPr>
            <w:tcW w:w="2461" w:type="dxa"/>
            <w:tcBorders>
              <w:top w:val="single" w:sz="8" w:space="0" w:shadow="0" w:frame="0" w:color="000000"/>
              <w:left w:val="single" w:sz="8" w:space="0" w:shadow="0" w:frame="0" w:color="000000"/>
              <w:bottom w:val="single" w:sz="8" w:space="0" w:shadow="0" w:frame="0" w:color="000000"/>
              <w:right w:val="single" w:sz="8" w:space="0" w:shadow="0" w:frame="0" w:color="000000"/>
            </w:tcBorders>
            <w:noWrap/>
            <w:tcMar>
              <w:top w:w="0" w:type="dxa"/>
              <w:left w:w="108" w:type="dxa"/>
              <w:bottom w:w="0" w:type="dxa"/>
              <w:right w:w="108" w:type="dxa"/>
            </w:tcMar>
            <w:vAlign w:val="bottom"/>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18"/>
                <w:szCs w:val="18"/>
              </w:rPr>
              <w:t>383</w:t>
            </w:r>
          </w:p>
        </w:tc>
      </w:tr>
      <w:tr>
        <w:trPr>
          <w:trHeight w:hRule="atLeast" w:val="282"/>
        </w:trPr>
        <w:tc>
          <w:tcPr>
            <w:tcW w:w="0" w:type="auto"/>
            <w:noWrap/>
            <w:tcMar>
              <w:top w:w="0" w:type="dxa"/>
              <w:left w:w="108" w:type="dxa"/>
              <w:bottom w:w="0" w:type="dxa"/>
              <w:right w:w="108" w:type="dxa"/>
            </w:tcMar>
            <w:vAlign w:val="bottom"/>
            <w:hideMark/>
          </w:tcPr>
          <w:p>
            <w:pPr>
              <w:ind w:left="0" w:right="0"/>
              <w:rPr>
                <w:sz w:val="24"/>
              </w:rPr>
            </w:pPr>
          </w:p>
        </w:tc>
        <w:tc>
          <w:tcPr>
            <w:tcW w:w="222" w:type="dxa"/>
            <w:noWrap/>
            <w:tcMar>
              <w:top w:w="0" w:type="dxa"/>
              <w:left w:w="108" w:type="dxa"/>
              <w:bottom w:w="0" w:type="dxa"/>
              <w:right w:w="108" w:type="dxa"/>
            </w:tcMar>
            <w:vAlign w:val="bottom"/>
            <w:hideMark/>
          </w:tcPr>
          <w:p>
            <w:pPr>
              <w:ind w:left="0" w:right="0"/>
              <w:rPr>
                <w:sz w:val="24"/>
              </w:rPr>
            </w:pPr>
          </w:p>
        </w:tc>
        <w:tc>
          <w:tcPr>
            <w:tcW w:w="1500" w:type="dxa"/>
            <w:noWrap/>
            <w:tcMar>
              <w:top w:w="0" w:type="dxa"/>
              <w:left w:w="108" w:type="dxa"/>
              <w:bottom w:w="0" w:type="dxa"/>
              <w:right w:w="108" w:type="dxa"/>
            </w:tcMar>
            <w:vAlign w:val="bottom"/>
            <w:hideMark/>
          </w:tcPr>
          <w:p>
            <w:pPr>
              <w:ind w:left="0" w:right="0"/>
              <w:rPr>
                <w:sz w:val="24"/>
              </w:rPr>
            </w:pPr>
          </w:p>
        </w:tc>
        <w:tc>
          <w:tcPr>
            <w:tcW w:w="2461" w:type="dxa"/>
            <w:noWrap/>
            <w:tcMar>
              <w:top w:w="0" w:type="dxa"/>
              <w:left w:w="108" w:type="dxa"/>
              <w:bottom w:w="0" w:type="dxa"/>
              <w:right w:w="108" w:type="dxa"/>
            </w:tcMar>
            <w:vAlign w:val="bottom"/>
            <w:hideMark/>
          </w:tcPr>
          <w:p>
            <w:pPr>
              <w:ind w:left="0" w:right="0"/>
              <w:rPr>
                <w:sz w:val="24"/>
              </w:rPr>
            </w:pPr>
          </w:p>
        </w:tc>
      </w:tr>
      <w:tr>
        <w:trPr>
          <w:trHeight w:hRule="atLeast" w:val="282"/>
        </w:trPr>
        <w:tc>
          <w:tcPr>
            <w:tcW w:w="0" w:type="auto"/>
            <w:gridSpan w:val="4"/>
            <w:noWrap/>
            <w:tcMar>
              <w:top w:w="0" w:type="dxa"/>
              <w:left w:w="108" w:type="dxa"/>
              <w:bottom w:w="0" w:type="dxa"/>
              <w:right w:w="108" w:type="dxa"/>
            </w:tcMar>
            <w:vAlign w:val="bottom"/>
            <w:hideMark/>
          </w:tcPr>
          <w:p>
            <w:pPr>
              <w:ind w:left="0" w:right="0"/>
              <w:rPr>
                <w:sz w:val="24"/>
              </w:rPr>
            </w:pPr>
          </w:p>
        </w:tc>
      </w:tr>
    </w:tbl>
    <w:p>
      <w:pPr>
        <w:spacing w:before="0" w:after="0" w:beforeAutospacing="0" w:afterAutospacing="0"/>
        <w:ind w:firstLine="0" w:left="0" w:right="0"/>
        <w:jc w:val="center"/>
        <w:outlineLvl w:val="9"/>
        <w:rPr>
          <w:color w:val="000000"/>
        </w:rPr>
      </w:pPr>
      <w:r>
        <w:rPr>
          <w:rFonts w:ascii="Times New Roman" w:hAnsi="Times New Roman" w:cs="Times New Roman" w:eastAsia="Times New Roman"/>
          <w:b w:val="1"/>
          <w:i w:val="0"/>
          <w:color w:val="000000"/>
          <w:sz w:val="28"/>
          <w:szCs w:val="28"/>
        </w:rPr>
        <w:t>1.Организационная структура</w:t>
      </w:r>
    </w:p>
    <w:p>
      <w:pPr>
        <w:spacing w:before="0" w:after="0" w:beforeAutospacing="0" w:afterAutospacing="0"/>
        <w:ind w:firstLine="0" w:left="0" w:right="0"/>
        <w:jc w:val="center"/>
        <w:outlineLvl w:val="9"/>
        <w:rPr>
          <w:color w:val="000000"/>
        </w:rPr>
      </w:pPr>
      <w:r>
        <w:rPr>
          <w:rFonts w:ascii="Times New Roman" w:hAnsi="Times New Roman" w:cs="Times New Roman" w:eastAsia="Times New Roman"/>
          <w:b w:val="1"/>
          <w:i w:val="0"/>
          <w:color w:val="000000"/>
          <w:sz w:val="28"/>
          <w:szCs w:val="28"/>
        </w:rPr>
        <w:t>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Полное наименование: Министерство</w:t>
      </w:r>
      <w:r>
        <w:rPr>
          <w:rFonts w:ascii="Calibri" w:hAnsi="Calibri" w:cs="Calibri" w:eastAsia="Calibri"/>
          <w:b w:val="0"/>
          <w:i w:val="0"/>
          <w:color w:val="000000"/>
          <w:sz w:val="22"/>
          <w:szCs w:val="22"/>
        </w:rPr>
        <w:t xml:space="preserve"> </w:t>
      </w:r>
      <w:r>
        <w:rPr>
          <w:rFonts w:ascii="Times New Roman" w:hAnsi="Times New Roman" w:cs="Times New Roman" w:eastAsia="Times New Roman"/>
          <w:b w:val="0"/>
          <w:i w:val="0"/>
          <w:color w:val="000000"/>
          <w:sz w:val="28"/>
          <w:szCs w:val="28"/>
        </w:rPr>
        <w:t xml:space="preserve">жилищно-коммунального хозяйства и гражданской защиты населения Пензенской области.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Сокращенное наименование: Министерство ЖКХ и ГЗН Пензенской области. </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0"/>
          <w:i w:val="0"/>
          <w:color w:val="000000"/>
          <w:sz w:val="28"/>
          <w:szCs w:val="28"/>
        </w:rPr>
        <w:t>Юридический адрес:</w:t>
      </w:r>
      <w:r>
        <w:rPr>
          <w:rFonts w:ascii="Times New Roman" w:hAnsi="Times New Roman" w:cs="Times New Roman" w:eastAsia="Times New Roman"/>
          <w:b w:val="1"/>
          <w:i w:val="0"/>
          <w:color w:val="FF0000"/>
          <w:sz w:val="28"/>
          <w:szCs w:val="28"/>
        </w:rPr>
        <w:t xml:space="preserve"> </w:t>
      </w:r>
      <w:r>
        <w:rPr>
          <w:rFonts w:ascii="Times New Roman" w:hAnsi="Times New Roman" w:cs="Times New Roman" w:eastAsia="Times New Roman"/>
          <w:b w:val="0"/>
          <w:i w:val="0"/>
          <w:color w:val="000000"/>
          <w:sz w:val="28"/>
          <w:szCs w:val="28"/>
        </w:rPr>
        <w:t>440000, г. Пенза, ул. Московская, 110.</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0"/>
          <w:i w:val="0"/>
          <w:color w:val="000000"/>
          <w:sz w:val="28"/>
          <w:szCs w:val="28"/>
        </w:rPr>
        <w:t xml:space="preserve">ИНН: 5836675975, ОГРН:1165835051447. </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0"/>
          <w:i w:val="0"/>
          <w:color w:val="000000"/>
          <w:sz w:val="28"/>
          <w:szCs w:val="28"/>
        </w:rPr>
        <w:t xml:space="preserve">Организационно-правовая форма  – государственное казенное учреждение. </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0"/>
          <w:i w:val="0"/>
          <w:color w:val="000000"/>
          <w:sz w:val="28"/>
          <w:szCs w:val="28"/>
        </w:rPr>
        <w:t xml:space="preserve">Код главы главного распорядителя бюджетных средств - 840. </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0"/>
          <w:i w:val="0"/>
          <w:color w:val="000000"/>
          <w:sz w:val="28"/>
          <w:szCs w:val="28"/>
        </w:rPr>
        <w:t>Код по реестру УБП – 562D0014.</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0"/>
          <w:i w:val="0"/>
          <w:color w:val="000000"/>
          <w:sz w:val="28"/>
          <w:szCs w:val="28"/>
        </w:rPr>
        <w:t xml:space="preserve">Учредитель – Правительство Пензенской области: г. Пенза, ул. Московская, 75. ИНН: 5836010995, ОГРН 1025801356789. </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Ведение бухгалтерского учета в части выполнения полномочий главного распорядителя бюджетных средств осуществляется Управлением финансирования целевых программ и бюджетного учета Министерства.</w:t>
      </w:r>
    </w:p>
    <w:p>
      <w:pPr>
        <w:spacing w:lineRule="atLeast" w:line="322" w:before="0" w:after="0" w:beforeAutospacing="0" w:afterAutospacing="0"/>
        <w:ind w:firstLine="680" w:left="40" w:right="20"/>
        <w:jc w:val="both"/>
        <w:outlineLvl w:val="9"/>
        <w:rPr>
          <w:color w:val="000000"/>
        </w:rPr>
      </w:pPr>
      <w:r>
        <w:rPr>
          <w:rFonts w:ascii="Times New Roman" w:hAnsi="Times New Roman" w:cs="Times New Roman" w:eastAsia="Times New Roman"/>
          <w:b w:val="0"/>
          <w:i w:val="0"/>
          <w:color w:val="000000"/>
          <w:sz w:val="28"/>
          <w:szCs w:val="28"/>
        </w:rPr>
        <w:t>Ведение бухгалтерского учета в части выполнения полномочий получателя бюджетных средств в соответствии с договором оказания услуг по ведению бюджетного учета органов исполнительной власти Пензенской области осуществляет ГКУ Пензенской области «Центр бухгалтерского учета» (постановление Правительства Пензенской области от 11.10.2022 № 865-пП).</w:t>
      </w:r>
      <w:r>
        <w:rPr>
          <w:rFonts w:ascii="Times New Roman" w:hAnsi="Times New Roman" w:cs="Times New Roman" w:eastAsia="Times New Roman"/>
          <w:b w:val="1"/>
          <w:i w:val="0"/>
          <w:color w:val="FF0000"/>
          <w:sz w:val="28"/>
          <w:szCs w:val="28"/>
        </w:rPr>
        <w:t xml:space="preserve"> </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0"/>
          <w:i w:val="0"/>
          <w:color w:val="000000"/>
          <w:sz w:val="28"/>
          <w:szCs w:val="28"/>
        </w:rPr>
        <w:t xml:space="preserve">           Касса для выдачи наличных денежных средств в Министерстве отсутствует. Все расчеты осуществляются в безналичном порядке. </w:t>
      </w:r>
    </w:p>
    <w:p>
      <w:pPr>
        <w:spacing w:before="0" w:after="0" w:beforeAutospacing="0" w:afterAutospacing="0"/>
        <w:ind w:firstLine="0" w:left="0" w:right="0"/>
        <w:jc w:val="left"/>
        <w:outlineLvl w:val="9"/>
        <w:rPr>
          <w:color w:val="000000"/>
        </w:rPr>
      </w:pPr>
      <w:r>
        <w:rPr>
          <w:rFonts w:ascii="Times New Roman" w:hAnsi="Times New Roman" w:cs="Times New Roman" w:eastAsia="Times New Roman"/>
          <w:b w:val="0"/>
          <w:i w:val="0"/>
          <w:color w:val="000000"/>
          <w:sz w:val="28"/>
          <w:szCs w:val="28"/>
        </w:rPr>
        <w:t>Подведомственные учреждения:</w:t>
      </w:r>
    </w:p>
    <w:p>
      <w:pPr>
        <w:spacing w:before="0" w:after="0" w:beforeAutospacing="0" w:afterAutospacing="0"/>
        <w:ind w:firstLine="0" w:left="0" w:right="0"/>
        <w:jc w:val="left"/>
        <w:outlineLvl w:val="9"/>
        <w:rPr>
          <w:color w:val="000000"/>
        </w:rPr>
      </w:pPr>
      <w:r>
        <w:rPr>
          <w:rFonts w:ascii="Times New Roman" w:hAnsi="Times New Roman" w:cs="Times New Roman" w:eastAsia="Times New Roman"/>
          <w:b w:val="0"/>
          <w:i w:val="0"/>
          <w:color w:val="000000"/>
          <w:sz w:val="28"/>
          <w:szCs w:val="28"/>
        </w:rPr>
        <w:t>- ГУ ПО «ППСЦ»;</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0"/>
          <w:i w:val="0"/>
          <w:color w:val="000000"/>
          <w:sz w:val="28"/>
          <w:szCs w:val="28"/>
        </w:rPr>
        <w:t>- Региональный фонд капитального ремонта многоквартирных домов Пензенской области.</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 xml:space="preserve"> Бюджетные полномочия в отчетном периоде у Министерства не изменялись. </w:t>
      </w:r>
    </w:p>
    <w:p>
      <w:pPr>
        <w:spacing w:lineRule="atLeast" w:line="322" w:before="0" w:after="0" w:beforeAutospacing="0" w:afterAutospacing="0"/>
        <w:ind w:firstLine="680" w:left="40" w:right="20"/>
        <w:jc w:val="both"/>
        <w:outlineLvl w:val="9"/>
        <w:rPr>
          <w:color w:val="000000"/>
        </w:rPr>
      </w:pPr>
      <w:r>
        <w:rPr>
          <w:rFonts w:ascii="Times New Roman" w:hAnsi="Times New Roman" w:cs="Times New Roman" w:eastAsia="Times New Roman"/>
          <w:b w:val="0"/>
          <w:i w:val="0"/>
          <w:color w:val="000000"/>
          <w:sz w:val="28"/>
          <w:szCs w:val="28"/>
        </w:rPr>
        <w:t>Министерство жилищно-коммунального хозяйства и гражданской защиты населения Пензенской области является исполнительным органом государственной власти Пензенской области, обеспечивающим проведение государственной политики в сфере жилищно-коммунального хозяйства и гражданской защиты населения на территории Пензенской области.</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xml:space="preserve">Согласно Положения о Министерстве, утвержденного постановлением Правительства Пензенской области от 19.07.2021 № 424-пП «Об утверждении Положения о Министерстве жилищно-коммунального хозяйства и гражданской защиты населения Пензенской области», Министерство является правопреемником по правам и обязанностям Управления жилищно-коммунального хозяйства и гражданской защиты населения Пензенской области, Управления государственной инспекции в жилищной, строительной сферах и по надзору за техническим состоянием самоходных машин и других видов техники Пензенской области в части осуществления регионального государственного жилищного контроля (надзора) и регионального государственного лицензионного контроля за осуществлением предпринимательской деятельности по управлению многоквартирными домами и Департамента по регулированию тарифов и энергосбережению Пензенской области. </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Основными задачами Министерства являются:</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1. Реализация государственной политики реформирования жилищно-коммунального хозяйства с целью повышения качества жилищно-коммунальных услуг и удовлетворения социальных потребностей населения.</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2. Разработка и реализация региональных целевых программ в системе жилищно-коммунального хозяйства Пензенской области.</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3. Участие в реализации единой государственной политики в области территориальной и гражданской обороны, защиты населения и территорий от чрезвычайных ситуаций природного и техногенного характера, пожарной безопасности на территории Пензенской области.</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4. Разработка и реализация региональных адресных программ переселения граждан из аварийного жилищного фонда.</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5. Проведение работ, связанных с использованием сведений, составляющих государственную тайну, в соответствии с действующим законодательством.</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6. Осуществление регионального государственного жилищного контроля (надзора).</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7. Осуществление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8. Реализация единой государственной тарифной, ценовой и энергосберегающей политики, а также политики в сфере производства электроэнергии на территории Пензенской области.</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9. Разработка единой нормативной правовой базы Пензенской области по вопросам ценообразования в регулируемых сферах деятельности в пределах полномочий, установленных законодательством Российской Федерации и Пензенской области.</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10. Государственное регулирование тарифов (цен) на продукцию (товары, работы, услуги) в пределах установленных полномочий.</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11. Соблюдение баланса экономических интересов организаций, осуществляющих регулируемые виды деятельности на территории Пензенской области, и потребителей соответствующих услуг и ресурсов.</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12. Недопущение установления для отдельных категорий потребителей льготных цен (тарифов) на электрическую энергию (мощность), тепловую энергию (мощность) и теплоноситель за счет повышения цен (тарифов) для других потребителей.</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13. Стимулирование энергосбережения и повышение энергетической эффективности.</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14. Создание экономических стимулов обеспечения повышения энергетической эффективности систем тепло- и электроснабжения и использования энергосберегающих технологий в процессах использования тепловой энергии (мощности) и электрической энергии (мощности).</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15. Мониторинг финансово-экономического состояния предприятий энергетического комплекса и разработка соответствующих материалов к комплексному прогнозу социально-экономического развития Пензенской области.</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16. Содействие предприятиям энергетического комплекса Пензенской области в организации взаимодействия со стратегическими партнерами и потенциальными инвесторами.</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17. Организация и осуществление регионального государственного контроля (надзора) в области регулируемых государством цен (тарифов).</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4"/>
          <w:szCs w:val="24"/>
        </w:rPr>
        <w:t> </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Министерство исполняет функции учредителя в отношении государственного бюджетного учреждения Пензенской области государственного бюджетного учреждения Пензенской области «Пензенский пожарно-спасательный центр», некоммерческой организации «Региональный фонд капитального ремонта многоквартирных домов Пензенской области».</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0"/>
          <w:i w:val="0"/>
          <w:color w:val="000000"/>
          <w:sz w:val="28"/>
          <w:szCs w:val="28"/>
        </w:rPr>
        <w:t> </w:t>
      </w:r>
      <w:r>
        <w:rPr>
          <w:rFonts w:ascii="Times New Roman" w:hAnsi="Times New Roman" w:cs="Times New Roman" w:eastAsia="Times New Roman"/>
          <w:b w:val="1"/>
          <w:i w:val="0"/>
          <w:color w:val="000000"/>
          <w:sz w:val="28"/>
          <w:szCs w:val="28"/>
        </w:rPr>
        <w:t> </w:t>
      </w:r>
    </w:p>
    <w:p>
      <w:pPr>
        <w:spacing w:before="0" w:after="0" w:beforeAutospacing="0" w:afterAutospacing="0"/>
        <w:ind w:firstLine="0" w:left="0" w:right="0"/>
        <w:jc w:val="center"/>
        <w:outlineLvl w:val="9"/>
        <w:rPr>
          <w:color w:val="000000"/>
        </w:rPr>
      </w:pPr>
      <w:r>
        <w:rPr>
          <w:rFonts w:ascii="Times New Roman" w:hAnsi="Times New Roman" w:cs="Times New Roman" w:eastAsia="Times New Roman"/>
          <w:b w:val="1"/>
          <w:i w:val="0"/>
          <w:color w:val="000000"/>
          <w:sz w:val="28"/>
          <w:szCs w:val="28"/>
        </w:rPr>
        <w:t>2. Результаты деятельности субъекта бюджетной отчетности</w:t>
      </w:r>
    </w:p>
    <w:p>
      <w:pPr>
        <w:spacing w:before="0" w:after="0" w:beforeAutospacing="0" w:afterAutospacing="0"/>
        <w:ind w:firstLine="0" w:left="0" w:right="0"/>
        <w:jc w:val="center"/>
        <w:outlineLvl w:val="9"/>
        <w:rPr>
          <w:color w:val="000000"/>
        </w:rPr>
      </w:pPr>
      <w:r>
        <w:rPr>
          <w:rFonts w:ascii="Times New Roman" w:hAnsi="Times New Roman" w:cs="Times New Roman" w:eastAsia="Times New Roman"/>
          <w:b w:val="1"/>
          <w:i w:val="0"/>
          <w:color w:val="000000"/>
          <w:sz w:val="28"/>
          <w:szCs w:val="28"/>
        </w:rPr>
        <w:t> </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Согласно штатному расписанию численность сотрудников Министерства составляет 110 человек. На 1 января 2025г. фактическая численность составила 103 человека, средняя численность составила 102 человека.</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Балансовая стоимость объектов основных средств, находящихся в эксплуатации и имеющих нулевую остаточную стоимость - 14 322,9 тыс.руб. (отражено в таблице № 12 пояснительной записки).</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В Министерстве отсутствуют временно неэксплуатируемые (неиспользуемые) объекты основных средств.</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Основные средства находятся в исправном техническом состоянии. Потребности в ремонте основных средств в отчетном периоде не было. Недостачи и порчи имущества за отчетный период не выявлено. Основные средства использовались для нужд Министерства по своему целевому назначению.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Объектов аренды у учреждения нет. </w:t>
      </w:r>
    </w:p>
    <w:p>
      <w:pPr>
        <w:spacing w:before="0" w:after="0" w:beforeAutospacing="0" w:afterAutospacing="0"/>
        <w:ind w:firstLine="0" w:left="0" w:right="0"/>
        <w:jc w:val="center"/>
        <w:outlineLvl w:val="9"/>
        <w:rPr>
          <w:color w:val="000000"/>
        </w:rPr>
      </w:pPr>
      <w:r>
        <w:rPr>
          <w:rFonts w:ascii="Times New Roman" w:hAnsi="Times New Roman" w:cs="Times New Roman" w:eastAsia="Times New Roman"/>
          <w:b w:val="1"/>
          <w:i w:val="0"/>
          <w:color w:val="000000"/>
          <w:sz w:val="28"/>
          <w:szCs w:val="28"/>
        </w:rPr>
        <w:t> </w:t>
      </w:r>
    </w:p>
    <w:p>
      <w:pPr>
        <w:spacing w:before="0" w:after="0" w:beforeAutospacing="0" w:afterAutospacing="0"/>
        <w:ind w:firstLine="0" w:left="0" w:right="0"/>
        <w:jc w:val="center"/>
        <w:outlineLvl w:val="9"/>
        <w:rPr>
          <w:color w:val="000000"/>
        </w:rPr>
      </w:pPr>
      <w:r>
        <w:rPr>
          <w:rFonts w:ascii="Times New Roman" w:hAnsi="Times New Roman" w:cs="Times New Roman" w:eastAsia="Times New Roman"/>
          <w:b w:val="1"/>
          <w:i w:val="0"/>
          <w:color w:val="000000"/>
          <w:sz w:val="28"/>
          <w:szCs w:val="28"/>
        </w:rPr>
        <w:t>3. Анализ отчета об исполнении бюджета  субъектом бюджетной отчетности</w:t>
      </w:r>
    </w:p>
    <w:p>
      <w:pPr>
        <w:spacing w:before="0" w:after="0" w:beforeAutospacing="0" w:afterAutospacing="0"/>
        <w:ind w:firstLine="0" w:left="0" w:right="0"/>
        <w:jc w:val="center"/>
        <w:outlineLvl w:val="9"/>
        <w:rPr>
          <w:color w:val="000000"/>
        </w:rPr>
      </w:pPr>
      <w:r>
        <w:rPr>
          <w:rFonts w:ascii="Times New Roman" w:hAnsi="Times New Roman" w:cs="Times New Roman" w:eastAsia="Times New Roman"/>
          <w:b w:val="0"/>
          <w:i w:val="0"/>
          <w:color w:val="000000"/>
          <w:sz w:val="28"/>
          <w:szCs w:val="28"/>
        </w:rPr>
        <w:t> </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Утвержденные бюджетные назначения по доходам, администрируемым Министерством на 01.01.2025г. составили 1 018 987 566,55 руб., всего поступило 1 009 441 932,23 руб. или 99,1 %   от годового плана, в том числе:</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1"/>
          <w:i w:val="1"/>
          <w:color w:val="000000"/>
          <w:sz w:val="28"/>
          <w:szCs w:val="28"/>
        </w:rPr>
        <w:t>- 840 11302992020000130</w:t>
      </w:r>
      <w:r>
        <w:rPr>
          <w:rFonts w:ascii="Times New Roman" w:hAnsi="Times New Roman" w:cs="Times New Roman" w:eastAsia="Times New Roman"/>
          <w:b w:val="0"/>
          <w:i w:val="0"/>
          <w:color w:val="000000"/>
          <w:sz w:val="28"/>
          <w:szCs w:val="28"/>
        </w:rPr>
        <w:t xml:space="preserve"> прочие доходы от компенсации затрат бюджетов субъектов Российской Федерации поступило 6 568,80 руб., план 6 000,00 руб. (109,5%);</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1"/>
          <w:i w:val="0"/>
          <w:color w:val="000000"/>
          <w:sz w:val="28"/>
          <w:szCs w:val="28"/>
        </w:rPr>
        <w:t xml:space="preserve">- </w:t>
      </w:r>
      <w:r>
        <w:rPr>
          <w:rFonts w:ascii="Times New Roman" w:hAnsi="Times New Roman" w:cs="Times New Roman" w:eastAsia="Times New Roman"/>
          <w:b w:val="1"/>
          <w:i w:val="1"/>
          <w:color w:val="000000"/>
          <w:sz w:val="28"/>
          <w:szCs w:val="28"/>
        </w:rPr>
        <w:t xml:space="preserve">840 11601072010233140 </w:t>
      </w:r>
      <w:r>
        <w:rPr>
          <w:rFonts w:ascii="Times New Roman" w:hAnsi="Times New Roman" w:cs="Times New Roman" w:eastAsia="Times New Roman"/>
          <w:b w:val="0"/>
          <w:i w:val="0"/>
          <w:color w:val="000000"/>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осуществления предпринимательской деятельности по управлению многоквартирными домами</w:t>
      </w:r>
      <w:r>
        <w:rPr>
          <w:rFonts w:ascii="Times New Roman" w:hAnsi="Times New Roman" w:cs="Times New Roman" w:eastAsia="Times New Roman"/>
          <w:b w:val="1"/>
          <w:i w:val="1"/>
          <w:color w:val="000000"/>
          <w:sz w:val="28"/>
          <w:szCs w:val="28"/>
        </w:rPr>
        <w:t>)</w:t>
      </w:r>
      <w:r>
        <w:rPr>
          <w:rFonts w:ascii="Times New Roman" w:hAnsi="Times New Roman" w:cs="Times New Roman" w:eastAsia="Times New Roman"/>
          <w:b w:val="0"/>
          <w:i w:val="0"/>
          <w:color w:val="000000"/>
          <w:sz w:val="28"/>
          <w:szCs w:val="28"/>
        </w:rPr>
        <w:t xml:space="preserve"> поступило 50 294,27 руб. при плане 50 000,00 руб. (100,6%);</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1"/>
          <w:i w:val="1"/>
          <w:color w:val="000000"/>
          <w:sz w:val="28"/>
          <w:szCs w:val="28"/>
        </w:rPr>
        <w:t xml:space="preserve">- 840 11601072019000140 </w:t>
      </w:r>
      <w:r>
        <w:rPr>
          <w:rFonts w:ascii="Times New Roman" w:hAnsi="Times New Roman" w:cs="Times New Roman" w:eastAsia="Times New Roman"/>
          <w:b w:val="0"/>
          <w:i w:val="0"/>
          <w:color w:val="000000"/>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 поступило 127 330,15 руб. из плановых 110 000,00 руб. (115,8%);</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xml:space="preserve">- </w:t>
      </w:r>
      <w:r>
        <w:rPr>
          <w:rFonts w:ascii="Times New Roman" w:hAnsi="Times New Roman" w:cs="Times New Roman" w:eastAsia="Times New Roman"/>
          <w:b w:val="1"/>
          <w:i w:val="1"/>
          <w:color w:val="000000"/>
          <w:sz w:val="28"/>
          <w:szCs w:val="28"/>
        </w:rPr>
        <w:t xml:space="preserve">840 11601092019000140 </w:t>
      </w:r>
      <w:r>
        <w:rPr>
          <w:rFonts w:ascii="Times New Roman" w:hAnsi="Times New Roman" w:cs="Times New Roman" w:eastAsia="Times New Roman"/>
          <w:b w:val="0"/>
          <w:i w:val="0"/>
          <w:color w:val="000000"/>
          <w:sz w:val="28"/>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 поступило 3 000,00 руб., при плане 3 000,00 руб. (100,0%);</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1"/>
          <w:i w:val="1"/>
          <w:color w:val="000000"/>
          <w:sz w:val="28"/>
          <w:szCs w:val="28"/>
        </w:rPr>
        <w:t xml:space="preserve">- 840 11601142019002140 </w:t>
      </w:r>
      <w:r>
        <w:rPr>
          <w:rFonts w:ascii="Times New Roman" w:hAnsi="Times New Roman" w:cs="Times New Roman" w:eastAsia="Times New Roman"/>
          <w:b w:val="0"/>
          <w:i w:val="0"/>
          <w:color w:val="000000"/>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 за исключением штрафов за административные правонарушения в области производства и оборота этилового спирта, алкогольной и спиртосодержащей продукции) при плане 2 200 000,00 руб. поступило - 2 227 064,79 руб. (101,2%);</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1"/>
          <w:i w:val="1"/>
          <w:color w:val="000000"/>
          <w:sz w:val="28"/>
          <w:szCs w:val="28"/>
        </w:rPr>
        <w:t xml:space="preserve">- 840 11601192010005140 </w:t>
      </w:r>
      <w:r>
        <w:rPr>
          <w:rFonts w:ascii="Times New Roman" w:hAnsi="Times New Roman" w:cs="Times New Roman" w:eastAsia="Times New Roman"/>
          <w:b w:val="0"/>
          <w:i w:val="0"/>
          <w:color w:val="000000"/>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 поступило 25 063,12 руб.;</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xml:space="preserve">- </w:t>
      </w:r>
      <w:r>
        <w:rPr>
          <w:rFonts w:ascii="Times New Roman" w:hAnsi="Times New Roman" w:cs="Times New Roman" w:eastAsia="Times New Roman"/>
          <w:b w:val="1"/>
          <w:i w:val="1"/>
          <w:color w:val="000000"/>
          <w:sz w:val="28"/>
          <w:szCs w:val="28"/>
        </w:rPr>
        <w:t>840 11602010020000140</w:t>
      </w:r>
      <w:r>
        <w:rPr>
          <w:rFonts w:ascii="Times New Roman" w:hAnsi="Times New Roman" w:cs="Times New Roman" w:eastAsia="Times New Roman"/>
          <w:b w:val="0"/>
          <w:i w:val="0"/>
          <w:color w:val="000000"/>
          <w:sz w:val="28"/>
          <w:szCs w:val="28"/>
        </w:rPr>
        <w:t xml:space="preserve"> административные штрафы, установленные законами субъектов РФ об административных правонарушениях, за нарушение законов и иных нормативных правовых актов субъектов РФ поступило 381 195,02 руб. из плановых 360 000,00 руб. (105,9%);</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1"/>
          <w:i w:val="1"/>
          <w:color w:val="000000"/>
          <w:sz w:val="28"/>
          <w:szCs w:val="28"/>
        </w:rPr>
        <w:t>- 840 11607090020000140</w:t>
      </w:r>
      <w:r>
        <w:rPr>
          <w:rFonts w:ascii="Times New Roman" w:hAnsi="Times New Roman" w:cs="Times New Roman" w:eastAsia="Times New Roman"/>
          <w:b w:val="0"/>
          <w:i w:val="0"/>
          <w:color w:val="000000"/>
          <w:sz w:val="28"/>
          <w:szCs w:val="28"/>
        </w:rPr>
        <w:t xml:space="preserve"> 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 поступило 455 310,00 руб.;</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xml:space="preserve">- </w:t>
      </w:r>
      <w:r>
        <w:rPr>
          <w:rFonts w:ascii="Times New Roman" w:hAnsi="Times New Roman" w:cs="Times New Roman" w:eastAsia="Times New Roman"/>
          <w:b w:val="1"/>
          <w:i w:val="1"/>
          <w:color w:val="000000"/>
          <w:sz w:val="28"/>
          <w:szCs w:val="28"/>
        </w:rPr>
        <w:t>840 20225299020000150</w:t>
      </w:r>
      <w:r>
        <w:rPr>
          <w:rFonts w:ascii="Times New Roman" w:hAnsi="Times New Roman" w:cs="Times New Roman" w:eastAsia="Times New Roman"/>
          <w:b w:val="0"/>
          <w:i w:val="0"/>
          <w:color w:val="000000"/>
          <w:sz w:val="28"/>
          <w:szCs w:val="28"/>
        </w:rPr>
        <w:t xml:space="preserve"> субсидии бюджетам субъектов РФ на софинансирование расходных обязательств субъектов РФ, связанных с реализацией федеральной целевой программы "Увековечение памяти погибших при защите Отечества на 2019 - 2024 годы" план - 423 200,00 руб., исполнено 423 2000,00 руб. (100,0%);</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xml:space="preserve">- </w:t>
      </w:r>
      <w:r>
        <w:rPr>
          <w:rFonts w:ascii="Times New Roman" w:hAnsi="Times New Roman" w:cs="Times New Roman" w:eastAsia="Times New Roman"/>
          <w:b w:val="1"/>
          <w:i w:val="1"/>
          <w:color w:val="000000"/>
          <w:sz w:val="28"/>
          <w:szCs w:val="28"/>
        </w:rPr>
        <w:t>840 20245424020000150</w:t>
      </w:r>
      <w:r>
        <w:rPr>
          <w:rFonts w:ascii="Times New Roman" w:hAnsi="Times New Roman" w:cs="Times New Roman" w:eastAsia="Times New Roman"/>
          <w:b w:val="0"/>
          <w:i w:val="0"/>
          <w:color w:val="000000"/>
          <w:sz w:val="28"/>
          <w:szCs w:val="28"/>
        </w:rPr>
        <w:t xml:space="preserve"> межбюджетные трансферты, передаваемые бюджетам субъектов РФ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план - 92 125 100,00 руб., исполнено 92 125 100,00 руб. (100,0%);</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xml:space="preserve">- </w:t>
      </w:r>
      <w:r>
        <w:rPr>
          <w:rFonts w:ascii="Times New Roman" w:hAnsi="Times New Roman" w:cs="Times New Roman" w:eastAsia="Times New Roman"/>
          <w:b w:val="1"/>
          <w:i w:val="1"/>
          <w:color w:val="000000"/>
          <w:sz w:val="28"/>
          <w:szCs w:val="28"/>
        </w:rPr>
        <w:t>840 20225555020000150</w:t>
      </w:r>
      <w:r>
        <w:rPr>
          <w:rFonts w:ascii="Times New Roman" w:hAnsi="Times New Roman" w:cs="Times New Roman" w:eastAsia="Times New Roman"/>
          <w:b w:val="0"/>
          <w:i w:val="0"/>
          <w:color w:val="000000"/>
          <w:sz w:val="28"/>
          <w:szCs w:val="28"/>
        </w:rPr>
        <w:t xml:space="preserve"> субсидии бюджетам субъектов РФ на реализацию программ формирования современной городской среды план - 308 142 200,00 руб., исполнено 299 858 739,53 руб. (97,3%);</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xml:space="preserve">- </w:t>
      </w:r>
      <w:r>
        <w:rPr>
          <w:rFonts w:ascii="Times New Roman" w:hAnsi="Times New Roman" w:cs="Times New Roman" w:eastAsia="Times New Roman"/>
          <w:b w:val="1"/>
          <w:i w:val="1"/>
          <w:color w:val="000000"/>
          <w:sz w:val="28"/>
          <w:szCs w:val="28"/>
        </w:rPr>
        <w:t>840 20302040020000150</w:t>
      </w:r>
      <w:r>
        <w:rPr>
          <w:rFonts w:ascii="Times New Roman" w:hAnsi="Times New Roman" w:cs="Times New Roman" w:eastAsia="Times New Roman"/>
          <w:b w:val="0"/>
          <w:i w:val="0"/>
          <w:color w:val="000000"/>
          <w:sz w:val="28"/>
          <w:szCs w:val="28"/>
        </w:rPr>
        <w:t xml:space="preserve"> безвозмездные поступления в бюджеты субъектов РФ от государственной корпорации - Фонда содействия реформированию ЖКХ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план - 485 068 066,55 руб., поступило 485 068 066,55 руб. (100,0%);</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1"/>
          <w:i w:val="1"/>
          <w:color w:val="000000"/>
          <w:sz w:val="28"/>
          <w:szCs w:val="28"/>
        </w:rPr>
        <w:t>- 840 20302080020000150</w:t>
      </w:r>
      <w:r>
        <w:rPr>
          <w:rFonts w:ascii="Times New Roman" w:hAnsi="Times New Roman" w:cs="Times New Roman" w:eastAsia="Times New Roman"/>
          <w:b w:val="0"/>
          <w:i w:val="0"/>
          <w:color w:val="000000"/>
          <w:sz w:val="28"/>
          <w:szCs w:val="28"/>
        </w:rPr>
        <w:t xml:space="preserve"> безвозмездные поступления в бюджеты субъектов Российской Федерации от публично-правовой компании "Фонд развития территорий" на обеспечение мероприятий по модернизации систем коммунальной инфраструктуры план - 130 500 000,00 руб., поступило 128 691 000,00 руб. (98,6%).</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4"/>
          <w:szCs w:val="24"/>
        </w:rPr>
        <w:t> </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Кассовые расходы на 1 января 2025 года из плановых показателей в сумме 2 129 461 387,94 руб. составили 2 118 862 030,70 руб. или 99,5%.</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xml:space="preserve">Расходы на содержание аппарата по целевым статьям </w:t>
      </w:r>
      <w:r>
        <w:rPr>
          <w:rFonts w:ascii="Times New Roman" w:hAnsi="Times New Roman" w:cs="Times New Roman" w:eastAsia="Times New Roman"/>
          <w:b w:val="1"/>
          <w:i w:val="1"/>
          <w:color w:val="000000"/>
          <w:sz w:val="28"/>
          <w:szCs w:val="28"/>
        </w:rPr>
        <w:t> 840 8010002100</w:t>
      </w:r>
      <w:r>
        <w:rPr>
          <w:rFonts w:ascii="Times New Roman" w:hAnsi="Times New Roman" w:cs="Times New Roman" w:eastAsia="Times New Roman"/>
          <w:b w:val="0"/>
          <w:i w:val="0"/>
          <w:color w:val="000000"/>
          <w:sz w:val="28"/>
          <w:szCs w:val="28"/>
        </w:rPr>
        <w:t xml:space="preserve">, </w:t>
      </w:r>
      <w:r>
        <w:rPr>
          <w:rFonts w:ascii="Times New Roman" w:hAnsi="Times New Roman" w:cs="Times New Roman" w:eastAsia="Times New Roman"/>
          <w:b w:val="1"/>
          <w:i w:val="1"/>
          <w:color w:val="000000"/>
          <w:sz w:val="28"/>
          <w:szCs w:val="28"/>
        </w:rPr>
        <w:t>840 8010002200</w:t>
      </w:r>
      <w:r>
        <w:rPr>
          <w:rFonts w:ascii="Times New Roman" w:hAnsi="Times New Roman" w:cs="Times New Roman" w:eastAsia="Times New Roman"/>
          <w:b w:val="0"/>
          <w:i w:val="0"/>
          <w:color w:val="000000"/>
          <w:sz w:val="28"/>
          <w:szCs w:val="28"/>
        </w:rPr>
        <w:t xml:space="preserve">  составили 149 471 041,42 руб. при годовом плане 149 471 908,18 руб., т.е. 100,0%, в том числе:</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xml:space="preserve">- на оплату труда и начисления на выплаты по оплате труда –  145 605 385,56 руб., </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больничные - 575 802,02 руб.;</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на выплату командировочных расходов (транс. услуги, суточные, проживание)  –  261 845,80 руб.,</w:t>
      </w:r>
    </w:p>
    <w:p>
      <w:pPr>
        <w:spacing w:before="0" w:after="0" w:beforeAutospacing="0" w:afterAutospacing="0"/>
        <w:ind w:firstLine="540" w:left="0" w:right="0"/>
        <w:jc w:val="left"/>
        <w:outlineLvl w:val="9"/>
        <w:rPr>
          <w:color w:val="000000"/>
        </w:rPr>
      </w:pPr>
      <w:r>
        <w:rPr>
          <w:rFonts w:ascii="Times New Roman" w:hAnsi="Times New Roman" w:cs="Times New Roman" w:eastAsia="Times New Roman"/>
          <w:b w:val="0"/>
          <w:i w:val="0"/>
          <w:color w:val="000000"/>
          <w:sz w:val="28"/>
          <w:szCs w:val="28"/>
        </w:rPr>
        <w:t>- оплата прочих работ, услуг – 3 028 008,04 руб.</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Расходы на поощрение за достижение (содействие достижению)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w:t>
      </w:r>
      <w:r>
        <w:rPr>
          <w:rFonts w:ascii="Times New Roman" w:hAnsi="Times New Roman" w:cs="Times New Roman" w:eastAsia="Times New Roman"/>
          <w:b w:val="0"/>
          <w:i w:val="0"/>
          <w:color w:val="000000"/>
          <w:sz w:val="24"/>
          <w:szCs w:val="24"/>
        </w:rPr>
        <w:t xml:space="preserve"> </w:t>
      </w:r>
      <w:r>
        <w:rPr>
          <w:rFonts w:ascii="Times New Roman" w:hAnsi="Times New Roman" w:cs="Times New Roman" w:eastAsia="Times New Roman"/>
          <w:b w:val="0"/>
          <w:i w:val="0"/>
          <w:color w:val="000000"/>
          <w:sz w:val="28"/>
          <w:szCs w:val="28"/>
        </w:rPr>
        <w:t xml:space="preserve">по статье </w:t>
      </w:r>
      <w:r>
        <w:rPr>
          <w:rFonts w:ascii="Times New Roman" w:hAnsi="Times New Roman" w:cs="Times New Roman" w:eastAsia="Times New Roman"/>
          <w:b w:val="1"/>
          <w:i w:val="1"/>
          <w:color w:val="000000"/>
          <w:sz w:val="28"/>
          <w:szCs w:val="28"/>
        </w:rPr>
        <w:t>840 8030025490</w:t>
      </w:r>
      <w:r>
        <w:rPr>
          <w:rFonts w:ascii="Times New Roman" w:hAnsi="Times New Roman" w:cs="Times New Roman" w:eastAsia="Times New Roman"/>
          <w:b w:val="0"/>
          <w:i w:val="0"/>
          <w:color w:val="000000"/>
          <w:sz w:val="28"/>
          <w:szCs w:val="28"/>
        </w:rPr>
        <w:t xml:space="preserve"> составили 6 008 330,00 руб.</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 xml:space="preserve">КБК 840 0113 1420199999 244 226 </w:t>
      </w:r>
      <w:r>
        <w:rPr>
          <w:rFonts w:ascii="Times New Roman" w:hAnsi="Times New Roman" w:cs="Times New Roman" w:eastAsia="Times New Roman"/>
          <w:b w:val="0"/>
          <w:i w:val="0"/>
          <w:color w:val="000000"/>
          <w:sz w:val="28"/>
          <w:szCs w:val="28"/>
        </w:rPr>
        <w:t>реализация отдельных мероприятий запланированы на 2024 год в сумме 1 116 000,00 руб. Освоено 1 116 000,00 руб. (100,0%).</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0113 8020074310 530 251</w:t>
      </w:r>
      <w:r>
        <w:rPr>
          <w:rFonts w:ascii="Times New Roman" w:hAnsi="Times New Roman" w:cs="Times New Roman" w:eastAsia="Times New Roman"/>
          <w:b w:val="0"/>
          <w:i w:val="0"/>
          <w:color w:val="000000"/>
          <w:sz w:val="28"/>
          <w:szCs w:val="28"/>
        </w:rPr>
        <w:t xml:space="preserve"> перечислено субвенции на исполнение государственных полномочий в сфере административных правоотношений в сумме 22 792 720,79  руб. из годового плана 22 281 891,56 руб., что составляет 99,9 %.</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0113 9930020500 244 349</w:t>
      </w:r>
      <w:r>
        <w:rPr>
          <w:rFonts w:ascii="Times New Roman" w:hAnsi="Times New Roman" w:cs="Times New Roman" w:eastAsia="Times New Roman"/>
          <w:b w:val="0"/>
          <w:i w:val="0"/>
          <w:color w:val="000000"/>
          <w:sz w:val="28"/>
          <w:szCs w:val="28"/>
        </w:rPr>
        <w:t xml:space="preserve"> резервный фонд Правительства Пензенской области освоено 1 370 670,00 руб. при плане 1 370 670,00 руб. (100,0%).</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0204 0540220100 612 241</w:t>
      </w:r>
      <w:r>
        <w:rPr>
          <w:rFonts w:ascii="Times New Roman" w:hAnsi="Times New Roman" w:cs="Times New Roman" w:eastAsia="Times New Roman"/>
          <w:b w:val="0"/>
          <w:i w:val="0"/>
          <w:color w:val="000000"/>
          <w:sz w:val="28"/>
          <w:szCs w:val="28"/>
        </w:rPr>
        <w:t xml:space="preserve"> в сумме 278 784,00 руб. мероприятия по мобилизационной готовности экономики (закупка противогазов), освоено в 4 квартале 2024 года, план 278 784,00 руб. (100,0%).</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0204 0540220100 612 281</w:t>
      </w:r>
      <w:r>
        <w:rPr>
          <w:rFonts w:ascii="Times New Roman" w:hAnsi="Times New Roman" w:cs="Times New Roman" w:eastAsia="Times New Roman"/>
          <w:b w:val="0"/>
          <w:i w:val="0"/>
          <w:color w:val="000000"/>
          <w:sz w:val="28"/>
          <w:szCs w:val="28"/>
        </w:rPr>
        <w:t xml:space="preserve"> в сумме 75 000,00 руб. мероприятия по мобилизационной готовности экономики (закупка противогазов), освоено во 2 квартале 2024 года 75 000,00 руб. (100,0%).</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0204 0540465300 612 241</w:t>
      </w:r>
      <w:r>
        <w:rPr>
          <w:rFonts w:ascii="Times New Roman" w:hAnsi="Times New Roman" w:cs="Times New Roman" w:eastAsia="Times New Roman"/>
          <w:b w:val="0"/>
          <w:i w:val="0"/>
          <w:color w:val="000000"/>
          <w:sz w:val="28"/>
          <w:szCs w:val="28"/>
        </w:rPr>
        <w:t xml:space="preserve"> создание, восполнение резервов материальных ресурсов Пензенской области для ликвидации чрезвычайных ситуаций межмуниципального и регионального характера в сумме 200,00 руб., исполнено на 100,0% (200,00 руб.).</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0309 0540165260 611 241</w:t>
      </w:r>
      <w:r>
        <w:rPr>
          <w:rFonts w:ascii="Times New Roman" w:hAnsi="Times New Roman" w:cs="Times New Roman" w:eastAsia="Times New Roman"/>
          <w:b w:val="0"/>
          <w:i w:val="0"/>
          <w:color w:val="000000"/>
          <w:sz w:val="28"/>
          <w:szCs w:val="28"/>
        </w:rPr>
        <w:t xml:space="preserve"> предупреждение и ликвидация последствий чрезвычайных ситуаций и стихийных бедствий природного и техногенного характера на выполнение госзадания ГУ «ППСЦ» запланировано 427 000,00 руб., исполнено 427 000,00 руб. (100,0%).</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0309 993002055 612 241</w:t>
      </w:r>
      <w:r>
        <w:rPr>
          <w:rFonts w:ascii="Times New Roman" w:hAnsi="Times New Roman" w:cs="Times New Roman" w:eastAsia="Times New Roman"/>
          <w:b w:val="0"/>
          <w:i w:val="0"/>
          <w:color w:val="000000"/>
          <w:sz w:val="28"/>
          <w:szCs w:val="28"/>
        </w:rPr>
        <w:t xml:space="preserve"> резервный фонд Правительства Пензенской области план 930 000,00 руб. Освоение 930 000,00 руб. (100,0%).</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0309 993002055 612 281</w:t>
      </w:r>
      <w:r>
        <w:rPr>
          <w:rFonts w:ascii="Times New Roman" w:hAnsi="Times New Roman" w:cs="Times New Roman" w:eastAsia="Times New Roman"/>
          <w:b w:val="0"/>
          <w:i w:val="0"/>
          <w:color w:val="000000"/>
          <w:sz w:val="28"/>
          <w:szCs w:val="28"/>
        </w:rPr>
        <w:t xml:space="preserve"> резервный фонд Правительства Пензенской области план 3 075 000,00 руб. Освоение 3 075 000,00 руб. (100,0%).</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0310 0540164480 612 241</w:t>
      </w:r>
      <w:r>
        <w:rPr>
          <w:rFonts w:ascii="Times New Roman" w:hAnsi="Times New Roman" w:cs="Times New Roman" w:eastAsia="Times New Roman"/>
          <w:b w:val="0"/>
          <w:i w:val="0"/>
          <w:color w:val="000000"/>
          <w:sz w:val="28"/>
          <w:szCs w:val="28"/>
        </w:rPr>
        <w:t xml:space="preserve"> приобретение спецтехники и оборудования для эффективности выполнения задач в области гражданской обороны, защиты населения и территорий от чрезвычайных ситуаций, обеспечения пожарной безопасности, обучения населения по гражданской обороне, приема и обработки вызовов по номеру «112» план 84 460,00 руб. Освоение 84 460,00 руб. (100,0%).</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0310 0540164480 612 281</w:t>
      </w:r>
      <w:r>
        <w:rPr>
          <w:rFonts w:ascii="Times New Roman" w:hAnsi="Times New Roman" w:cs="Times New Roman" w:eastAsia="Times New Roman"/>
          <w:b w:val="0"/>
          <w:i w:val="0"/>
          <w:color w:val="000000"/>
          <w:sz w:val="28"/>
          <w:szCs w:val="28"/>
        </w:rPr>
        <w:t xml:space="preserve"> приобретение спецтехники и оборудования для эффективности выполнения задач в области гражданской обороны, защиты населения и территорий от чрезвычайных ситуаций, обеспечения пожарной безопасности, обучения населения по гражданской обороне, приема и обработки вызовов по номеру «112» план 3 145 076,00 руб. Освоение 3 145 076,00 руб. (100,0%).</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0310 0540164730 612 241</w:t>
      </w:r>
      <w:r>
        <w:rPr>
          <w:rFonts w:ascii="Times New Roman" w:hAnsi="Times New Roman" w:cs="Times New Roman" w:eastAsia="Times New Roman"/>
          <w:b w:val="0"/>
          <w:i w:val="0"/>
          <w:color w:val="000000"/>
          <w:sz w:val="28"/>
          <w:szCs w:val="28"/>
        </w:rPr>
        <w:t xml:space="preserve"> в сумме 2 886 300,00 руб. на ежемесячную денежную выплату спасателям планируется к освоению по мере достижения спасателями соответствующего стажа, дающего право на получение выплаты, перечислено - 2 886 300,00 руб. или 100,0%.</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0310 0540165260 611 241</w:t>
      </w:r>
      <w:r>
        <w:rPr>
          <w:rFonts w:ascii="Times New Roman" w:hAnsi="Times New Roman" w:cs="Times New Roman" w:eastAsia="Times New Roman"/>
          <w:b w:val="0"/>
          <w:i w:val="0"/>
          <w:color w:val="000000"/>
          <w:sz w:val="28"/>
          <w:szCs w:val="28"/>
        </w:rPr>
        <w:t xml:space="preserve"> предупреждение и ликвидация последствий чрезвычайных ситуаций и стихийных бедствий природного и техногенного характера на выполнение госзадания ГУ «ППСЦ» из плановых лимитов в сумме 234 058 110,00 руб. перечислено 234 058 110,00  руб. или 100,0%.</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Исполнение расходной части плана финансово-хозяйственной деятельности по субсидиям на выполнение государственного задания за 2024 год составило 247 803 685,40 руб. при утвержденных плановых назначениях 254 451 734,37 руб. или 97,4%, в том числе:</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 заработная плата – 147 050 723,07 руб. при плане 147 050 723,07 руб. (100,0% выполнения);</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 прочие выплаты – 6 900,00 руб. при плане 6 900,00 руб. (100,0% выполнения);</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 начисления на выплаты по оплате труда – 43 702 663,12 руб. при плане 46 146 927,05 руб. (94,7% выполнения), не исполнено 2 444 263,93 руб. – экономия по страховым взносам от сумм, превышающих предельную величину базы для начисления страховых взносов;</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 услуги связи 18 486 022,46 руб. при плане 19 883 572,68 (93,0% выполнения) - не исполнено 1 397 550,22 руб., - кредиторская задолженность по услугам связи за декабрь 2024 г. в сумме 102 684,77 руб., экономия по услугам связи, в связи с нерегулируемыми тарифами;</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 коммунальные услуги – 3 620 082,39 руб. при плане 6 112 250,20 руб. (59,2% выполнения), не исполнено 2 492 167,81 руб. – кредиторская задолженность по договору водопотребления за декабрь 2024 г. в сумме 35,69 руб., за газоснабжение за декабрь 2024 в сумме 90 210,68 руб., за электропотребление за декабрь 2024 г. в сумме 250 663,06 руб., за теплопотребление за декабрь 2024 г. в сумме 58 252,62 руб., экономия по договорам на коммунальные услуги;</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 xml:space="preserve">- арендная плата – 2 751 070,80 руб. при плане 2 751 070,80 руб. (100,0% выполнения); </w:t>
      </w:r>
    </w:p>
    <w:p>
      <w:pPr>
        <w:spacing w:before="0" w:after="0" w:beforeAutospacing="0" w:afterAutospacing="0"/>
        <w:ind w:firstLine="700" w:left="0" w:right="60"/>
        <w:jc w:val="both"/>
        <w:outlineLvl w:val="9"/>
        <w:rPr>
          <w:color w:val="000000"/>
        </w:rPr>
      </w:pPr>
      <w:r>
        <w:rPr>
          <w:rFonts w:ascii="Times New Roman" w:hAnsi="Times New Roman" w:cs="Times New Roman" w:eastAsia="Times New Roman"/>
          <w:b w:val="0"/>
          <w:i w:val="0"/>
          <w:color w:val="000000"/>
          <w:sz w:val="28"/>
          <w:szCs w:val="28"/>
        </w:rPr>
        <w:t>- работы, услуги по содержанию имущества – 25 034 315,01 руб. при плане 25 306 874,24 руб. (98,9% выполнения), не исполнено 272 559,23 руб.;</w:t>
      </w:r>
    </w:p>
    <w:p>
      <w:pPr>
        <w:spacing w:before="0" w:after="0" w:beforeAutospacing="0" w:afterAutospacing="0"/>
        <w:ind w:firstLine="0" w:left="0" w:right="60"/>
        <w:jc w:val="both"/>
        <w:outlineLvl w:val="9"/>
        <w:rPr>
          <w:color w:val="000000"/>
        </w:rPr>
      </w:pPr>
      <w:r>
        <w:rPr>
          <w:rFonts w:ascii="Times New Roman" w:hAnsi="Times New Roman" w:cs="Times New Roman" w:eastAsia="Times New Roman"/>
          <w:b w:val="0"/>
          <w:i w:val="0"/>
          <w:color w:val="000000"/>
          <w:sz w:val="28"/>
          <w:szCs w:val="28"/>
        </w:rPr>
        <w:t>        - прочие работы, услуги – 789 267,55 руб. при плане 793 602,55 руб. (99,5% выполнения), не исполнено 4 335,00 руб.;</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0"/>
          <w:i w:val="0"/>
          <w:color w:val="000000"/>
          <w:sz w:val="28"/>
          <w:szCs w:val="28"/>
        </w:rPr>
        <w:t>        - страхование –135 569,55 руб. при плане 135 711,19 руб. (99,9% выполнения); не исполнено 141,64 руб.;</w:t>
      </w:r>
    </w:p>
    <w:p>
      <w:pPr>
        <w:spacing w:before="0" w:after="0" w:beforeAutospacing="0" w:afterAutospacing="0"/>
        <w:ind w:firstLine="0" w:left="0" w:right="60"/>
        <w:jc w:val="both"/>
        <w:outlineLvl w:val="9"/>
        <w:rPr>
          <w:color w:val="000000"/>
        </w:rPr>
      </w:pPr>
      <w:r>
        <w:rPr>
          <w:rFonts w:ascii="Calibri" w:hAnsi="Calibri" w:cs="Calibri" w:eastAsia="Calibri"/>
          <w:b w:val="0"/>
          <w:i w:val="0"/>
          <w:color w:val="000000"/>
          <w:sz w:val="28"/>
          <w:szCs w:val="28"/>
        </w:rPr>
        <w:t>        </w:t>
      </w:r>
      <w:r>
        <w:rPr>
          <w:rFonts w:ascii="Times New Roman" w:hAnsi="Times New Roman" w:cs="Times New Roman" w:eastAsia="Times New Roman"/>
          <w:b w:val="0"/>
          <w:i w:val="0"/>
          <w:color w:val="000000"/>
          <w:sz w:val="28"/>
          <w:szCs w:val="28"/>
        </w:rPr>
        <w:t xml:space="preserve">- пособия по социальной помощи населению – 540 576,93 руб. при плане 540 576,93 руб. (100,0% выполнения); </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0"/>
          <w:i w:val="0"/>
          <w:color w:val="000000"/>
          <w:sz w:val="28"/>
          <w:szCs w:val="28"/>
        </w:rPr>
        <w:t>         - прочие расходы – 1 214 641,60 руб. при плане 1 251 373,02 руб. (97,1% выполнения), не исполнено 36 731,42 руб.;</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 приобретение материальных запасов – 4 471 852,92 руб. при плане 4 472 152,64 руб. (100,0% выполнения), не исполнено 299,72 руб.</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  </w:t>
      </w:r>
    </w:p>
    <w:p>
      <w:pPr>
        <w:spacing w:before="0" w:after="0" w:beforeAutospacing="0" w:afterAutospacing="0"/>
        <w:ind w:firstLine="0" w:left="700" w:right="0"/>
        <w:jc w:val="both"/>
        <w:outlineLvl w:val="9"/>
        <w:rPr>
          <w:color w:val="000000"/>
        </w:rPr>
      </w:pPr>
      <w:r>
        <w:rPr>
          <w:rFonts w:ascii="Times New Roman" w:hAnsi="Times New Roman" w:cs="Times New Roman" w:eastAsia="Times New Roman"/>
          <w:b w:val="1"/>
          <w:i w:val="0"/>
          <w:color w:val="000000"/>
          <w:sz w:val="28"/>
          <w:szCs w:val="28"/>
        </w:rPr>
        <w:t> </w:t>
      </w:r>
    </w:p>
    <w:p>
      <w:pPr>
        <w:spacing w:before="0" w:after="0" w:beforeAutospacing="0" w:afterAutospacing="0"/>
        <w:ind w:firstLine="0" w:left="700" w:right="0"/>
        <w:jc w:val="both"/>
        <w:outlineLvl w:val="9"/>
        <w:rPr>
          <w:color w:val="000000"/>
        </w:rPr>
      </w:pPr>
      <w:r>
        <w:rPr>
          <w:rFonts w:ascii="Times New Roman" w:hAnsi="Times New Roman" w:cs="Times New Roman" w:eastAsia="Times New Roman"/>
          <w:b w:val="1"/>
          <w:i w:val="0"/>
          <w:color w:val="000000"/>
          <w:sz w:val="28"/>
          <w:szCs w:val="28"/>
        </w:rPr>
        <w:t> </w:t>
      </w:r>
    </w:p>
    <w:p>
      <w:pPr>
        <w:spacing w:before="0" w:after="0" w:beforeAutospacing="0" w:afterAutospacing="0"/>
        <w:ind w:firstLine="0" w:left="700" w:right="0"/>
        <w:jc w:val="both"/>
        <w:outlineLvl w:val="9"/>
        <w:rPr>
          <w:color w:val="000000"/>
        </w:rPr>
      </w:pPr>
      <w:r>
        <w:rPr>
          <w:rFonts w:ascii="Times New Roman" w:hAnsi="Times New Roman" w:cs="Times New Roman" w:eastAsia="Times New Roman"/>
          <w:b w:val="1"/>
          <w:i w:val="0"/>
          <w:color w:val="000000"/>
          <w:sz w:val="28"/>
          <w:szCs w:val="28"/>
        </w:rPr>
        <w:t> </w:t>
      </w:r>
    </w:p>
    <w:p>
      <w:pPr>
        <w:spacing w:before="0" w:after="0" w:beforeAutospacing="0" w:afterAutospacing="0"/>
        <w:ind w:firstLine="0" w:left="700" w:right="0"/>
        <w:jc w:val="both"/>
        <w:outlineLvl w:val="9"/>
        <w:rPr>
          <w:color w:val="000000"/>
        </w:rPr>
      </w:pPr>
      <w:r>
        <w:rPr>
          <w:rFonts w:ascii="Times New Roman" w:hAnsi="Times New Roman" w:cs="Times New Roman" w:eastAsia="Times New Roman"/>
          <w:b w:val="1"/>
          <w:i w:val="0"/>
          <w:color w:val="000000"/>
          <w:sz w:val="28"/>
          <w:szCs w:val="28"/>
        </w:rPr>
        <w:t> </w:t>
      </w:r>
    </w:p>
    <w:p>
      <w:pPr>
        <w:spacing w:before="0" w:after="0" w:beforeAutospacing="0" w:afterAutospacing="0"/>
        <w:ind w:firstLine="0" w:left="700" w:right="0"/>
        <w:jc w:val="both"/>
        <w:outlineLvl w:val="9"/>
        <w:rPr>
          <w:color w:val="000000"/>
        </w:rPr>
      </w:pPr>
      <w:r>
        <w:rPr>
          <w:rFonts w:ascii="Times New Roman" w:hAnsi="Times New Roman" w:cs="Times New Roman" w:eastAsia="Times New Roman"/>
          <w:b w:val="1"/>
          <w:i w:val="0"/>
          <w:color w:val="000000"/>
          <w:sz w:val="28"/>
          <w:szCs w:val="28"/>
        </w:rPr>
        <w:t> </w:t>
      </w:r>
    </w:p>
    <w:p>
      <w:pPr>
        <w:spacing w:before="0" w:after="0" w:beforeAutospacing="0" w:afterAutospacing="0"/>
        <w:ind w:firstLine="0" w:left="700" w:right="0"/>
        <w:jc w:val="both"/>
        <w:outlineLvl w:val="9"/>
        <w:rPr>
          <w:color w:val="000000"/>
        </w:rPr>
      </w:pPr>
      <w:r>
        <w:rPr>
          <w:rFonts w:ascii="Times New Roman" w:hAnsi="Times New Roman" w:cs="Times New Roman" w:eastAsia="Times New Roman"/>
          <w:b w:val="1"/>
          <w:i w:val="0"/>
          <w:color w:val="000000"/>
          <w:sz w:val="28"/>
          <w:szCs w:val="28"/>
        </w:rPr>
        <w:t> </w:t>
      </w:r>
    </w:p>
    <w:p>
      <w:pPr>
        <w:spacing w:before="0" w:after="0" w:beforeAutospacing="0" w:afterAutospacing="0"/>
        <w:ind w:firstLine="0" w:left="700" w:right="0"/>
        <w:jc w:val="both"/>
        <w:outlineLvl w:val="9"/>
        <w:rPr>
          <w:color w:val="000000"/>
        </w:rPr>
      </w:pPr>
      <w:r>
        <w:rPr>
          <w:rFonts w:ascii="Times New Roman" w:hAnsi="Times New Roman" w:cs="Times New Roman" w:eastAsia="Times New Roman"/>
          <w:b w:val="1"/>
          <w:i w:val="0"/>
          <w:color w:val="000000"/>
          <w:sz w:val="28"/>
          <w:szCs w:val="28"/>
        </w:rPr>
        <w:t> Выполнение объемных показателей гос. услуги на 01.01.2025 года:</w:t>
      </w:r>
    </w:p>
    <w:p>
      <w:pPr>
        <w:spacing w:before="0" w:after="0" w:beforeAutospacing="0" w:afterAutospacing="0"/>
        <w:ind w:firstLine="0" w:left="700" w:right="0"/>
        <w:jc w:val="both"/>
        <w:outlineLvl w:val="9"/>
        <w:rPr>
          <w:color w:val="000000"/>
        </w:rPr>
      </w:pPr>
      <w:r>
        <w:rPr>
          <w:rFonts w:ascii="Times New Roman" w:hAnsi="Times New Roman" w:cs="Times New Roman" w:eastAsia="Times New Roman"/>
          <w:b w:val="0"/>
          <w:i w:val="0"/>
          <w:color w:val="000000"/>
          <w:sz w:val="16"/>
          <w:szCs w:val="16"/>
        </w:rPr>
        <w:t> </w:t>
      </w:r>
    </w:p>
    <w:tbl>
      <w:tblPr>
        <w:tblW w:w="13395" w:type="dxa"/>
        <w:tblInd w:w="73" w:type="dxa"/>
        <w:tblBorders>
          <w:top w:val="none" w:sz="0" w:space="0" w:shadow="0" w:frame="0" w:color="000000"/>
          <w:left w:val="none" w:sz="0" w:space="0" w:shadow="0" w:frame="0" w:color="000000"/>
          <w:bottom w:val="none" w:sz="0" w:space="0" w:shadow="0" w:frame="0" w:color="000000"/>
          <w:right w:val="none" w:sz="0" w:space="0" w:shadow="0" w:frame="0" w:color="000000"/>
          <w:insideH w:val="none" w:sz="0" w:space="0" w:shadow="0" w:frame="0" w:color="auto"/>
          <w:insideV w:val="none" w:sz="0" w:space="0" w:shadow="0" w:frame="0" w:color="auto"/>
        </w:tblBorders>
        <w:tblLayout w:type="autofit"/>
        <w:tblCellMar>
          <w:top w:w="0" w:type="dxa"/>
          <w:left w:w="0" w:type="dxa"/>
          <w:bottom w:w="0" w:type="dxa"/>
          <w:right w:w="0" w:type="dxa"/>
        </w:tblCellMar>
      </w:tblPr>
      <w:tblGrid/>
      <w:tr>
        <w:trPr>
          <w:trHeight w:hRule="atLeast" w:val="701"/>
        </w:trPr>
        <w:tc>
          <w:tcPr>
            <w:tcW w:w="510" w:type="dxa"/>
            <w:vMerge w:val="restart"/>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rPr>
                <w:color w:val="000000"/>
              </w:rPr>
            </w:pPr>
            <w:r>
              <w:rPr>
                <w:rFonts w:ascii="Times New Roman" w:hAnsi="Times New Roman" w:cs="Times New Roman" w:eastAsia="Times New Roman"/>
                <w:b w:val="1"/>
                <w:i w:val="0"/>
                <w:color w:val="000000"/>
                <w:sz w:val="20"/>
                <w:szCs w:val="20"/>
              </w:rPr>
              <w:t>№ п/п</w:t>
            </w:r>
          </w:p>
        </w:tc>
        <w:tc>
          <w:tcPr>
            <w:tcW w:w="4980"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1"/>
                <w:i w:val="0"/>
                <w:color w:val="000000"/>
                <w:sz w:val="20"/>
                <w:szCs w:val="20"/>
              </w:rPr>
              <w:t>Наименование гос. услуг</w:t>
            </w:r>
          </w:p>
        </w:tc>
        <w:tc>
          <w:tcPr>
            <w:tcW w:w="1245"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1"/>
                <w:i w:val="0"/>
                <w:color w:val="000000"/>
                <w:sz w:val="20"/>
                <w:szCs w:val="20"/>
              </w:rPr>
              <w:t>Единица измерения</w:t>
            </w:r>
          </w:p>
        </w:tc>
        <w:tc>
          <w:tcPr>
            <w:tcW w:w="2685" w:type="dxa"/>
            <w:gridSpan w:val="2"/>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1"/>
                <w:i w:val="0"/>
                <w:color w:val="000000"/>
                <w:sz w:val="20"/>
                <w:szCs w:val="20"/>
              </w:rPr>
              <w:t>Объем гос. услуг в натуральных показателях</w:t>
            </w:r>
          </w:p>
        </w:tc>
        <w:tc>
          <w:tcPr>
            <w:tcW w:w="3973" w:type="dxa"/>
            <w:vMerge w:val="restart"/>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1"/>
                <w:i w:val="0"/>
                <w:color w:val="000000"/>
                <w:sz w:val="20"/>
                <w:szCs w:val="20"/>
              </w:rPr>
              <w:t>Выполнение услуг/работ в денежном выражени</w:t>
            </w:r>
          </w:p>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 </w:t>
            </w:r>
          </w:p>
        </w:tc>
      </w:tr>
      <w:tr>
        <w:trPr>
          <w:trHeight w:hRule="atLeast" w:val="38"/>
        </w:trPr>
        <w:tc>
          <w:tcPr>
            <w:tcW w:w="510" w:type="dxa"/>
            <w:vMerge w:val="continue"/>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ind w:left="0" w:right="0"/>
              <w:rPr>
                <w:color w:val="000000"/>
              </w:rPr>
            </w:pPr>
            <w:r>
              <w:rPr>
                <w:color w:val="000000"/>
              </w:rPr>
              <w:t xml:space="preserve"> </w:t>
            </w:r>
          </w:p>
        </w:tc>
        <w:tc>
          <w:tcPr>
            <w:tcW w:w="4980"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left"/>
              <w:rPr>
                <w:color w:val="000000"/>
              </w:rPr>
            </w:pPr>
            <w:r>
              <w:rPr>
                <w:rFonts w:ascii="Calibri" w:hAnsi="Calibri" w:cs="Calibri" w:eastAsia="Calibri"/>
                <w:b w:val="0"/>
                <w:i w:val="0"/>
                <w:color w:val="000000"/>
                <w:sz w:val="22"/>
                <w:szCs w:val="22"/>
              </w:rPr>
              <w:t> </w:t>
            </w:r>
          </w:p>
        </w:tc>
        <w:tc>
          <w:tcPr>
            <w:tcW w:w="1245"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left"/>
              <w:rPr>
                <w:color w:val="000000"/>
              </w:rPr>
            </w:pPr>
            <w:r>
              <w:rPr>
                <w:rFonts w:ascii="Calibri" w:hAnsi="Calibri" w:cs="Calibri" w:eastAsia="Calibri"/>
                <w:b w:val="0"/>
                <w:i w:val="0"/>
                <w:color w:val="000000"/>
                <w:sz w:val="22"/>
                <w:szCs w:val="22"/>
              </w:rPr>
              <w:t> </w:t>
            </w:r>
          </w:p>
        </w:tc>
        <w:tc>
          <w:tcPr>
            <w:tcW w:w="1260"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1"/>
                <w:i w:val="0"/>
                <w:color w:val="000000"/>
                <w:sz w:val="24"/>
                <w:szCs w:val="24"/>
              </w:rPr>
              <w:t>План 2024г.</w:t>
            </w:r>
          </w:p>
        </w:tc>
        <w:tc>
          <w:tcPr>
            <w:tcW w:w="1425"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1"/>
                <w:i w:val="0"/>
                <w:color w:val="000000"/>
                <w:sz w:val="24"/>
                <w:szCs w:val="24"/>
              </w:rPr>
              <w:t>Факт на 01.01.2025г.</w:t>
            </w:r>
          </w:p>
        </w:tc>
        <w:tc>
          <w:tcPr>
            <w:tcW w:w="3973" w:type="dxa"/>
            <w:vMerge w:val="continue"/>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ind w:left="0" w:right="0"/>
              <w:rPr>
                <w:color w:val="000000"/>
                <w:sz w:val="4"/>
              </w:rPr>
            </w:pPr>
          </w:p>
        </w:tc>
      </w:tr>
      <w:tr>
        <w:trPr>
          <w:trHeight w:hRule="atLeast" w:val="38"/>
        </w:trPr>
        <w:tc>
          <w:tcPr>
            <w:tcW w:w="510"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rPr>
                <w:color w:val="000000"/>
              </w:rPr>
            </w:pPr>
            <w:r>
              <w:rPr>
                <w:rFonts w:ascii="Times New Roman" w:hAnsi="Times New Roman" w:cs="Times New Roman" w:eastAsia="Times New Roman"/>
                <w:b w:val="0"/>
                <w:i w:val="0"/>
                <w:color w:val="000000"/>
                <w:sz w:val="24"/>
                <w:szCs w:val="24"/>
              </w:rPr>
              <w:t>1.</w:t>
            </w:r>
          </w:p>
          <w:p>
            <w:pPr>
              <w:spacing w:before="0" w:after="0" w:beforeAutospacing="0" w:afterAutospacing="0"/>
              <w:ind w:firstLine="0" w:left="0" w:right="0"/>
              <w:jc w:val="left"/>
              <w:rPr>
                <w:color w:val="000000"/>
              </w:rPr>
            </w:pPr>
            <w:r>
              <w:rPr>
                <w:rFonts w:ascii="Times New Roman" w:hAnsi="Times New Roman" w:cs="Times New Roman" w:eastAsia="Times New Roman"/>
                <w:b w:val="1"/>
                <w:i w:val="0"/>
                <w:color w:val="000000"/>
                <w:sz w:val="24"/>
                <w:szCs w:val="24"/>
              </w:rPr>
              <w:t> </w:t>
            </w:r>
          </w:p>
        </w:tc>
        <w:tc>
          <w:tcPr>
            <w:tcW w:w="4980"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 xml:space="preserve">Реализация дополнительных профессиональных программ повышения квалификации </w:t>
            </w:r>
            <w:r>
              <w:rPr>
                <w:rFonts w:ascii="Times New Roman" w:hAnsi="Times New Roman" w:cs="Times New Roman" w:eastAsia="Times New Roman"/>
                <w:b w:val="1"/>
                <w:i w:val="0"/>
                <w:color w:val="000000"/>
                <w:sz w:val="24"/>
                <w:szCs w:val="24"/>
              </w:rPr>
              <w:t> </w:t>
            </w:r>
          </w:p>
        </w:tc>
        <w:tc>
          <w:tcPr>
            <w:tcW w:w="1245"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both"/>
              <w:rPr>
                <w:color w:val="000000"/>
              </w:rPr>
            </w:pPr>
            <w:r>
              <w:rPr>
                <w:rFonts w:ascii="Times New Roman" w:hAnsi="Times New Roman" w:cs="Times New Roman" w:eastAsia="Times New Roman"/>
                <w:b w:val="0"/>
                <w:i w:val="0"/>
                <w:color w:val="000000"/>
                <w:sz w:val="24"/>
                <w:szCs w:val="24"/>
              </w:rPr>
              <w:t> </w:t>
            </w:r>
          </w:p>
          <w:p>
            <w:pPr>
              <w:spacing w:before="0" w:after="0" w:beforeAutospacing="0" w:afterAutospacing="0"/>
              <w:ind w:firstLine="0" w:left="0" w:right="0"/>
              <w:jc w:val="both"/>
              <w:rPr>
                <w:color w:val="000000"/>
              </w:rPr>
            </w:pPr>
            <w:r>
              <w:rPr>
                <w:rFonts w:ascii="Times New Roman" w:hAnsi="Times New Roman" w:cs="Times New Roman" w:eastAsia="Times New Roman"/>
                <w:b w:val="0"/>
                <w:i w:val="0"/>
                <w:color w:val="000000"/>
                <w:sz w:val="24"/>
                <w:szCs w:val="24"/>
              </w:rPr>
              <w:t>Чел-час.</w:t>
            </w:r>
          </w:p>
        </w:tc>
        <w:tc>
          <w:tcPr>
            <w:tcW w:w="1260"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 </w:t>
            </w:r>
          </w:p>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77 796</w:t>
            </w:r>
          </w:p>
        </w:tc>
        <w:tc>
          <w:tcPr>
            <w:tcW w:w="1425"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 </w:t>
            </w:r>
          </w:p>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77 796</w:t>
            </w:r>
          </w:p>
        </w:tc>
        <w:tc>
          <w:tcPr>
            <w:tcW w:w="397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Услуга выполнена в полном объеме. На данную услугу было запланировано и освоено денежных средств в сумме 13 926 310,68 руб.</w:t>
            </w:r>
          </w:p>
        </w:tc>
      </w:tr>
      <w:tr>
        <w:trPr>
          <w:trHeight w:hRule="atLeast" w:val="38"/>
        </w:trPr>
        <w:tc>
          <w:tcPr>
            <w:tcW w:w="510"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2.</w:t>
            </w:r>
          </w:p>
        </w:tc>
        <w:tc>
          <w:tcPr>
            <w:tcW w:w="4980"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Обеспечение функционирования системы обеспечения вызова экстренных оперативных служб по единому номеру "112", прием и обработка вызовов по единому номеру "112" и передача их в диспетчерские службы</w:t>
            </w:r>
          </w:p>
        </w:tc>
        <w:tc>
          <w:tcPr>
            <w:tcW w:w="1245"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both"/>
              <w:rPr>
                <w:color w:val="000000"/>
              </w:rPr>
            </w:pPr>
            <w:r>
              <w:rPr>
                <w:rFonts w:ascii="Times New Roman" w:hAnsi="Times New Roman" w:cs="Times New Roman" w:eastAsia="Times New Roman"/>
                <w:b w:val="0"/>
                <w:i w:val="0"/>
                <w:color w:val="000000"/>
                <w:sz w:val="24"/>
                <w:szCs w:val="24"/>
              </w:rPr>
              <w:t>процент</w:t>
            </w:r>
          </w:p>
        </w:tc>
        <w:tc>
          <w:tcPr>
            <w:tcW w:w="1260"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100</w:t>
            </w:r>
          </w:p>
        </w:tc>
        <w:tc>
          <w:tcPr>
            <w:tcW w:w="1425"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100</w:t>
            </w:r>
          </w:p>
        </w:tc>
        <w:tc>
          <w:tcPr>
            <w:tcW w:w="397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Услуга выполнена в полном объеме. На данную услугу было запланировано и освоено денежных средств в сумме 30 664 016,71 руб. </w:t>
            </w:r>
          </w:p>
        </w:tc>
      </w:tr>
      <w:tr>
        <w:trPr>
          <w:trHeight w:hRule="atLeast" w:val="38"/>
        </w:trPr>
        <w:tc>
          <w:tcPr>
            <w:tcW w:w="510"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rPr>
                <w:color w:val="000000"/>
              </w:rPr>
            </w:pPr>
            <w:r>
              <w:rPr>
                <w:rFonts w:ascii="Times New Roman" w:hAnsi="Times New Roman" w:cs="Times New Roman" w:eastAsia="Times New Roman"/>
                <w:b w:val="0"/>
                <w:i w:val="0"/>
                <w:color w:val="000000"/>
                <w:sz w:val="24"/>
                <w:szCs w:val="24"/>
              </w:rPr>
              <w:t>3.</w:t>
            </w:r>
          </w:p>
        </w:tc>
        <w:tc>
          <w:tcPr>
            <w:tcW w:w="4980"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Развитие и поддержание в постоянной готовности системы оповещения и информирования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w:t>
            </w:r>
          </w:p>
        </w:tc>
        <w:tc>
          <w:tcPr>
            <w:tcW w:w="1245"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both"/>
              <w:rPr>
                <w:color w:val="000000"/>
              </w:rPr>
            </w:pPr>
            <w:r>
              <w:rPr>
                <w:rFonts w:ascii="Times New Roman" w:hAnsi="Times New Roman" w:cs="Times New Roman" w:eastAsia="Times New Roman"/>
                <w:b w:val="0"/>
                <w:i w:val="0"/>
                <w:color w:val="000000"/>
                <w:sz w:val="24"/>
                <w:szCs w:val="24"/>
              </w:rPr>
              <w:t>Единица</w:t>
            </w:r>
          </w:p>
        </w:tc>
        <w:tc>
          <w:tcPr>
            <w:tcW w:w="1260"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2</w:t>
            </w:r>
          </w:p>
        </w:tc>
        <w:tc>
          <w:tcPr>
            <w:tcW w:w="1425"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2 </w:t>
            </w:r>
          </w:p>
        </w:tc>
        <w:tc>
          <w:tcPr>
            <w:tcW w:w="397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 xml:space="preserve">Данная работа выполнена в полном объеме. На данную услугу было запланировано и освоено денежных средств в сумме 38 614 729,35 руб. </w:t>
            </w:r>
          </w:p>
        </w:tc>
      </w:tr>
      <w:tr>
        <w:trPr>
          <w:trHeight w:hRule="atLeast" w:val="38"/>
        </w:trPr>
        <w:tc>
          <w:tcPr>
            <w:tcW w:w="510"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rPr>
                <w:color w:val="000000"/>
              </w:rPr>
            </w:pPr>
            <w:r>
              <w:rPr>
                <w:rFonts w:ascii="Times New Roman" w:hAnsi="Times New Roman" w:cs="Times New Roman" w:eastAsia="Times New Roman"/>
                <w:b w:val="0"/>
                <w:i w:val="0"/>
                <w:color w:val="000000"/>
                <w:sz w:val="24"/>
                <w:szCs w:val="24"/>
              </w:rPr>
              <w:t>4.</w:t>
            </w:r>
          </w:p>
        </w:tc>
        <w:tc>
          <w:tcPr>
            <w:tcW w:w="4980"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Создание и содержание в целях гражданской обороны запасов материально-технических, продовольственных, медицинских и иных средств</w:t>
            </w:r>
          </w:p>
        </w:tc>
        <w:tc>
          <w:tcPr>
            <w:tcW w:w="1245"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both"/>
              <w:rPr>
                <w:color w:val="000000"/>
              </w:rPr>
            </w:pPr>
            <w:r>
              <w:rPr>
                <w:rFonts w:ascii="Times New Roman" w:hAnsi="Times New Roman" w:cs="Times New Roman" w:eastAsia="Times New Roman"/>
                <w:b w:val="0"/>
                <w:i w:val="0"/>
                <w:color w:val="000000"/>
                <w:sz w:val="24"/>
                <w:szCs w:val="24"/>
              </w:rPr>
              <w:t> </w:t>
            </w:r>
          </w:p>
        </w:tc>
        <w:tc>
          <w:tcPr>
            <w:tcW w:w="1260"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w:t>
            </w:r>
          </w:p>
        </w:tc>
        <w:tc>
          <w:tcPr>
            <w:tcW w:w="1425"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w:t>
            </w:r>
          </w:p>
        </w:tc>
        <w:tc>
          <w:tcPr>
            <w:tcW w:w="397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Данная работа выполнена в полном объеме. На данную услугу было запланировано и освоено денежных средств в сумме 14 312 782,15 руб.</w:t>
            </w:r>
          </w:p>
        </w:tc>
      </w:tr>
      <w:tr>
        <w:trPr>
          <w:trHeight w:hRule="atLeast" w:val="1255"/>
        </w:trPr>
        <w:tc>
          <w:tcPr>
            <w:tcW w:w="510"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rPr>
                <w:color w:val="000000"/>
              </w:rPr>
            </w:pPr>
            <w:r>
              <w:rPr>
                <w:rFonts w:ascii="Times New Roman" w:hAnsi="Times New Roman" w:cs="Times New Roman" w:eastAsia="Times New Roman"/>
                <w:b w:val="0"/>
                <w:i w:val="0"/>
                <w:color w:val="000000"/>
                <w:sz w:val="24"/>
                <w:szCs w:val="24"/>
              </w:rPr>
              <w:t>5.</w:t>
            </w:r>
          </w:p>
        </w:tc>
        <w:tc>
          <w:tcPr>
            <w:tcW w:w="4980"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Подготовка и содержание в готовности необходимых сил и средств для защиты населения и территорий от чрезвычайных ситуаций</w:t>
            </w:r>
          </w:p>
        </w:tc>
        <w:tc>
          <w:tcPr>
            <w:tcW w:w="1245"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both"/>
              <w:rPr>
                <w:color w:val="000000"/>
              </w:rPr>
            </w:pPr>
            <w:r>
              <w:rPr>
                <w:rFonts w:ascii="Times New Roman" w:hAnsi="Times New Roman" w:cs="Times New Roman" w:eastAsia="Times New Roman"/>
                <w:b w:val="0"/>
                <w:i w:val="0"/>
                <w:color w:val="000000"/>
                <w:sz w:val="24"/>
                <w:szCs w:val="24"/>
              </w:rPr>
              <w:t> </w:t>
            </w:r>
          </w:p>
        </w:tc>
        <w:tc>
          <w:tcPr>
            <w:tcW w:w="1260"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w:t>
            </w:r>
          </w:p>
        </w:tc>
        <w:tc>
          <w:tcPr>
            <w:tcW w:w="1425"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w:t>
            </w:r>
          </w:p>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 </w:t>
            </w:r>
          </w:p>
        </w:tc>
        <w:tc>
          <w:tcPr>
            <w:tcW w:w="397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Работа выполнена в полном объеме. На данную услугу было запланировано и освоено денежных средств в сумме 31 357 520,83 руб.</w:t>
            </w:r>
          </w:p>
        </w:tc>
      </w:tr>
      <w:tr>
        <w:trPr>
          <w:trHeight w:hRule="atLeast" w:val="38"/>
        </w:trPr>
        <w:tc>
          <w:tcPr>
            <w:tcW w:w="510"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rPr>
                <w:color w:val="000000"/>
              </w:rPr>
            </w:pPr>
            <w:r>
              <w:rPr>
                <w:rFonts w:ascii="Times New Roman" w:hAnsi="Times New Roman" w:cs="Times New Roman" w:eastAsia="Times New Roman"/>
                <w:b w:val="0"/>
                <w:i w:val="0"/>
                <w:color w:val="000000"/>
                <w:sz w:val="24"/>
                <w:szCs w:val="24"/>
              </w:rPr>
              <w:t>6.</w:t>
            </w:r>
          </w:p>
        </w:tc>
        <w:tc>
          <w:tcPr>
            <w:tcW w:w="4980"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Организация и проведение поисково-спасательных, аварийно-спасательных и других неотложных работ при чрезвычайных ситуациях</w:t>
            </w:r>
          </w:p>
        </w:tc>
        <w:tc>
          <w:tcPr>
            <w:tcW w:w="1245"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both"/>
              <w:rPr>
                <w:color w:val="000000"/>
              </w:rPr>
            </w:pPr>
            <w:r>
              <w:rPr>
                <w:rFonts w:ascii="Times New Roman" w:hAnsi="Times New Roman" w:cs="Times New Roman" w:eastAsia="Times New Roman"/>
                <w:b w:val="0"/>
                <w:i w:val="0"/>
                <w:color w:val="000000"/>
                <w:sz w:val="24"/>
                <w:szCs w:val="24"/>
              </w:rPr>
              <w:t> </w:t>
            </w:r>
          </w:p>
        </w:tc>
        <w:tc>
          <w:tcPr>
            <w:tcW w:w="1260"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w:t>
            </w:r>
          </w:p>
        </w:tc>
        <w:tc>
          <w:tcPr>
            <w:tcW w:w="1425"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w:t>
            </w:r>
          </w:p>
        </w:tc>
        <w:tc>
          <w:tcPr>
            <w:tcW w:w="397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Работа выполнена в полном. На данную услугу было запланировано и освоено денежных средств в сумме 385 275,07 руб.</w:t>
            </w:r>
          </w:p>
        </w:tc>
      </w:tr>
      <w:tr>
        <w:trPr>
          <w:trHeight w:hRule="atLeast" w:val="38"/>
        </w:trPr>
        <w:tc>
          <w:tcPr>
            <w:tcW w:w="510"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rPr>
                <w:color w:val="000000"/>
              </w:rPr>
            </w:pPr>
            <w:r>
              <w:rPr>
                <w:rFonts w:ascii="Times New Roman" w:hAnsi="Times New Roman" w:cs="Times New Roman" w:eastAsia="Times New Roman"/>
                <w:b w:val="0"/>
                <w:i w:val="0"/>
                <w:color w:val="000000"/>
                <w:sz w:val="24"/>
                <w:szCs w:val="24"/>
              </w:rPr>
              <w:t>7.</w:t>
            </w:r>
          </w:p>
        </w:tc>
        <w:tc>
          <w:tcPr>
            <w:tcW w:w="4980"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Организация и проведение работ и мероприятий в целях обеспечения реагирования на чрезвычайные ситуации</w:t>
            </w:r>
          </w:p>
        </w:tc>
        <w:tc>
          <w:tcPr>
            <w:tcW w:w="1245"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both"/>
              <w:rPr>
                <w:color w:val="000000"/>
              </w:rPr>
            </w:pPr>
            <w:r>
              <w:rPr>
                <w:rFonts w:ascii="Times New Roman" w:hAnsi="Times New Roman" w:cs="Times New Roman" w:eastAsia="Times New Roman"/>
                <w:b w:val="0"/>
                <w:i w:val="0"/>
                <w:color w:val="000000"/>
                <w:sz w:val="24"/>
                <w:szCs w:val="24"/>
              </w:rPr>
              <w:t> </w:t>
            </w:r>
          </w:p>
        </w:tc>
        <w:tc>
          <w:tcPr>
            <w:tcW w:w="1260"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w:t>
            </w:r>
          </w:p>
        </w:tc>
        <w:tc>
          <w:tcPr>
            <w:tcW w:w="1425"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w:t>
            </w:r>
          </w:p>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 </w:t>
            </w:r>
          </w:p>
        </w:tc>
        <w:tc>
          <w:tcPr>
            <w:tcW w:w="397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Данная работа выполнена в полном объеме. На данную услугу было запланировано и освоено денежных средств в сумме 33 750 122,96 руб.</w:t>
            </w:r>
          </w:p>
        </w:tc>
      </w:tr>
      <w:tr>
        <w:trPr>
          <w:trHeight w:hRule="atLeast" w:val="38"/>
        </w:trPr>
        <w:tc>
          <w:tcPr>
            <w:tcW w:w="510"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rPr>
                <w:color w:val="000000"/>
              </w:rPr>
            </w:pPr>
            <w:r>
              <w:rPr>
                <w:rFonts w:ascii="Times New Roman" w:hAnsi="Times New Roman" w:cs="Times New Roman" w:eastAsia="Times New Roman"/>
                <w:b w:val="0"/>
                <w:i w:val="0"/>
                <w:color w:val="000000"/>
                <w:sz w:val="24"/>
                <w:szCs w:val="24"/>
              </w:rPr>
              <w:t>8.</w:t>
            </w:r>
          </w:p>
        </w:tc>
        <w:tc>
          <w:tcPr>
            <w:tcW w:w="4980"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Организация и проведение работ по обеспечению безопасности людей на водных объектах</w:t>
            </w:r>
          </w:p>
        </w:tc>
        <w:tc>
          <w:tcPr>
            <w:tcW w:w="1245"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both"/>
              <w:rPr>
                <w:color w:val="000000"/>
              </w:rPr>
            </w:pPr>
            <w:r>
              <w:rPr>
                <w:rFonts w:ascii="Times New Roman" w:hAnsi="Times New Roman" w:cs="Times New Roman" w:eastAsia="Times New Roman"/>
                <w:b w:val="0"/>
                <w:i w:val="0"/>
                <w:color w:val="000000"/>
                <w:sz w:val="24"/>
                <w:szCs w:val="24"/>
              </w:rPr>
              <w:t> </w:t>
            </w:r>
          </w:p>
        </w:tc>
        <w:tc>
          <w:tcPr>
            <w:tcW w:w="1260"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w:t>
            </w:r>
          </w:p>
        </w:tc>
        <w:tc>
          <w:tcPr>
            <w:tcW w:w="1425"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w:t>
            </w:r>
          </w:p>
        </w:tc>
        <w:tc>
          <w:tcPr>
            <w:tcW w:w="397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Работа выполнена в полном объеме. На данную услугу было запланировано и освоено денежных средств в сумме 18 730 321,53 руб.</w:t>
            </w:r>
          </w:p>
        </w:tc>
      </w:tr>
      <w:tr>
        <w:trPr>
          <w:trHeight w:hRule="atLeast" w:val="38"/>
        </w:trPr>
        <w:tc>
          <w:tcPr>
            <w:tcW w:w="510"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rPr>
                <w:color w:val="000000"/>
              </w:rPr>
            </w:pPr>
            <w:r>
              <w:rPr>
                <w:rFonts w:ascii="Times New Roman" w:hAnsi="Times New Roman" w:cs="Times New Roman" w:eastAsia="Times New Roman"/>
                <w:b w:val="0"/>
                <w:i w:val="0"/>
                <w:color w:val="000000"/>
                <w:sz w:val="24"/>
                <w:szCs w:val="24"/>
              </w:rPr>
              <w:t>9.</w:t>
            </w:r>
          </w:p>
        </w:tc>
        <w:tc>
          <w:tcPr>
            <w:tcW w:w="4980"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Деятельность по обеспечению пожарной безопасности. Организация тушения пожаров</w:t>
            </w:r>
          </w:p>
        </w:tc>
        <w:tc>
          <w:tcPr>
            <w:tcW w:w="1245"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both"/>
              <w:rPr>
                <w:color w:val="000000"/>
              </w:rPr>
            </w:pPr>
            <w:r>
              <w:rPr>
                <w:rFonts w:ascii="Times New Roman" w:hAnsi="Times New Roman" w:cs="Times New Roman" w:eastAsia="Times New Roman"/>
                <w:b w:val="0"/>
                <w:i w:val="0"/>
                <w:color w:val="000000"/>
                <w:sz w:val="24"/>
                <w:szCs w:val="24"/>
              </w:rPr>
              <w:t> </w:t>
            </w:r>
          </w:p>
        </w:tc>
        <w:tc>
          <w:tcPr>
            <w:tcW w:w="1260"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w:t>
            </w:r>
          </w:p>
        </w:tc>
        <w:tc>
          <w:tcPr>
            <w:tcW w:w="1425"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w:t>
            </w:r>
          </w:p>
        </w:tc>
        <w:tc>
          <w:tcPr>
            <w:tcW w:w="397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left"/>
              <w:rPr>
                <w:color w:val="000000"/>
              </w:rPr>
            </w:pPr>
            <w:r>
              <w:rPr>
                <w:rFonts w:ascii="Calibri" w:hAnsi="Calibri" w:cs="Calibri" w:eastAsia="Calibri"/>
                <w:b w:val="0"/>
                <w:i w:val="0"/>
                <w:color w:val="000000"/>
                <w:sz w:val="24"/>
                <w:szCs w:val="24"/>
              </w:rPr>
              <w:t> </w:t>
            </w:r>
            <w:r>
              <w:rPr>
                <w:rFonts w:ascii="Times New Roman" w:hAnsi="Times New Roman" w:cs="Times New Roman" w:eastAsia="Times New Roman"/>
                <w:b w:val="0"/>
                <w:i w:val="0"/>
                <w:color w:val="000000"/>
                <w:sz w:val="24"/>
                <w:szCs w:val="24"/>
              </w:rPr>
              <w:t>Работа выполнена в полном объеме, с учетом допустимого (возможного) отклонения от установленного показателя объема государственной услуги. На данную услугу было запланировано и освоено денежных средств в сумме 52 744 030,72 руб.</w:t>
            </w:r>
          </w:p>
        </w:tc>
      </w:tr>
    </w:tbl>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4"/>
          <w:szCs w:val="24"/>
        </w:rPr>
        <w:t> </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1"/>
          <w:i w:val="0"/>
          <w:color w:val="000000"/>
          <w:sz w:val="28"/>
          <w:szCs w:val="28"/>
        </w:rPr>
        <w:t>Сведения о результатах учреждения по исполнению государственного (муниципального) задания.</w:t>
      </w:r>
      <w:r>
        <w:rPr>
          <w:rFonts w:ascii="Times New Roman" w:hAnsi="Times New Roman" w:cs="Times New Roman" w:eastAsia="Times New Roman"/>
          <w:b w:val="0"/>
          <w:i w:val="0"/>
          <w:color w:val="000000"/>
          <w:sz w:val="28"/>
          <w:szCs w:val="28"/>
        </w:rPr>
        <w:t xml:space="preserve"> </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 xml:space="preserve">Сведения о результатах учреждения по исполнению государственного (муниципального) задания. </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 xml:space="preserve">Для исполнения государственного (муниципального) задания было запланированы денежные средства в сумме 234 485 110,00 руб. Фактическое исполнение государственного (муниципального) задания было на сумму денежные средства 234 485 110,00 руб. </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 Государственная услуга по реализации дополнительных профессиональных программ повышения квалификации производилась для физических и юридических лиц. Объем оказанных услуг 77 796 человеко-часов. Показатель, характеризующий данную услугу - подготовка должностных лиц и специалистов гражданской обороны и государственной системы предупреждения и ликвидации чрезвычайных ситуаций и обучение персонала, обеспечивающего функционирование системы обеспечения вызова экстренных оперативных служб по единому номеру «112». Услуга выполнена в полном объеме. На данную услугу было запланировано и освоено денежных средств в сумме 13 926 310,68 руб.</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 Государственная услуга по обеспечению функционирования системы обеспечения вызова экстренных оперативных служб по единому номеру "112", прием и обработка вызовов по единому номеру "112" и передача их в диспетчерские службы производилась для физических, юридических лиц. Объем оказанных услуг 100 %. Показатель, характеризующий данную услугу, прием и обработка вызовов по единому номеру «112» и передача их в диспетчерские службы. Услуга выполнена в полном объеме. На данную услугу было запланировано и освоено денежных средств в сумме 30 664 016,71 руб.</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 xml:space="preserve">- Государственная услуга (работа) по развитию и поддержанию в постоянной готовности системы оповещения и информатизации населения об опасных, возникающих при военных конфликтах или вследствие этих конфликтов, а также при чрезвычайных ситуациях природного и техногенного характера производилась для физических и юридических лиц. Объем оказанных услуг 2 единицы. Показатель, характеризующий объем данной работы является проведение плановых проверок РАСЦО с подтверждением готовности системы к оповещению населения. Данная работа выполнена в полном объеме. На данную услугу было запланировано и освоено денежных средств в сумме 38 614 729,35 руб. </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 Государственная услуга (работа) по созданию и содержанию в целях гражданской обороны запасов материально-технических, продовольственных, медицинских и иных средств производилась для работников органов исполнительной власти субъекта, работников органов местного самоуправления, и организациям, находящихся в их ведении. Объем оказанных услуг не установлено. Показатель, характеризующий объем данной работы обеспечение установленной категории населения средствами индивидуальной защиты и приборами РХР и К. Данная работа выполнена в полном объеме. На данную услугу было запланировано и освоено денежных средств в сумме 14 312 782,15 руб.</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 Государственная услуга (работа) по подготовке и содержанию готовности необходимых сил и средств для защиты населения и территории от чрезвычайных ситуаций производилась для физических, юридических лиц, органов исполнительной власти и органов местного самоуправления. Объем оказанных услуг не установлено. Показатель, характеризующий содержание работы - то обеспечение повседневной оперативной деятельности, а объем данной работы количество проведенных регламентных, ремонтных, тестовых работ, профилактических и аттестационных мероприятий. Работа выполнена в полном объеме. На данную услугу было запланировано и освоено денежных средств в сумме 31 357 520,83 руб.</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 Государственная услуга (работа) по организации и проведения поисково-спасательных, аварийно-спасательных и других неотложных работ при чрезвычайных ситуациях производилась для физических, юридических лиц, органов исполнительной власти и органов местного самоуправления. Объем оказанных услуг не установлено. Показатель, характеризующий содержание работы, является поисково-спасательные, аварийно-спасательные и других неотложных работ (АСДНР), объем данной работы — это оперативные выезды. Работа выполнена в полном. На данную услугу было запланировано и освоено денежных средств в сумме 385 275,07 руб.</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 Государственная услуга (работа) по организации и проведения работ и мероприятий в целях обеспечения регулирования на чрезвычайные ситуации производилась для физических, юридических лиц, органов исполнительной власти и органов местного самоуправления. Объем оказанных услуг не установлено. Показатель, характеризующий содержание работы, является проведение учебных, теоретических, практических занятий, тренировок, специализированных сборов и учений, поддержание требуемого уровня технического оснащения. Данная работа выполнена в полном объеме. На данную услугу было запланировано и освоено денежных средств в сумме 33 750 122,96 руб.</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 Государственная услуга (работа) по организации и проведения работ по обеспечению безопасности людей на водных объектах производилась для физических, юридических лиц, органов исполнительной власти и органов местного самоуправления. Объем оказанных услуг не установлено. Показатель, характеризующий содержание работы, является поиск и спасение людей на водных объектах, объем данной работы — это оперативные выезды. Работа выполнена в полном объеме. На данную услугу было запланировано и освоено денежных средств в сумме 18 730 321,53 руб.</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 Государственная услуга (работа) по деятельности в обеспечении пожарной безопасности и организации тушения пожаров производилась для физических, юридических лиц, органов исполнительной власти и органов местного самоуправления. Объем оказанных услуг не установлено. Показатель, характеризующий содержание работы, является тушение пожаров, проведение спасения людей и имущества при пожарах, обеспечение мероприятий пожарной безопасности, объем данной работы — это оперативные выезды. Работа выполнена в полном объеме, с учетом допустимого (возможного) отклонения от установленного показателя объема государственной услуги. На данную услугу было запланировано и освоено денежных средств в сумме 52 744 030,72 руб.</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 xml:space="preserve">КБК 840 0310 0540165260 612 281 </w:t>
      </w:r>
      <w:r>
        <w:rPr>
          <w:rFonts w:ascii="Times New Roman" w:hAnsi="Times New Roman" w:cs="Times New Roman" w:eastAsia="Times New Roman"/>
          <w:b w:val="0"/>
          <w:i w:val="0"/>
          <w:color w:val="000000"/>
          <w:sz w:val="28"/>
          <w:szCs w:val="28"/>
        </w:rPr>
        <w:t>по подпрограмме «Снижение рисков и смягчение последствий чрезвычайных ситуаций природного и техногенного характера и обеспечение пожарной безопасности Пензенской области» (территория ДНР и ЛНР) выделено 3 168 000,00 руб., освоено 3 168 000,00 руб. (100,0%).</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 xml:space="preserve">КБК 840 0310 0540165310 612 241 </w:t>
      </w:r>
      <w:r>
        <w:rPr>
          <w:rFonts w:ascii="Times New Roman" w:hAnsi="Times New Roman" w:cs="Times New Roman" w:eastAsia="Times New Roman"/>
          <w:b w:val="0"/>
          <w:i w:val="0"/>
          <w:color w:val="000000"/>
          <w:sz w:val="28"/>
          <w:szCs w:val="28"/>
        </w:rPr>
        <w:t>участие ГБУ «Пензенский пожарно-спасательный центр» в реализации специального инфраструктурного проекта и иных проектов выделено 59 731 375,41 руб., освоено 59 731 375,41 руб. (100,0%).</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 xml:space="preserve">КБК 840 0310 0540165310 612 281 </w:t>
      </w:r>
      <w:r>
        <w:rPr>
          <w:rFonts w:ascii="Times New Roman" w:hAnsi="Times New Roman" w:cs="Times New Roman" w:eastAsia="Times New Roman"/>
          <w:b w:val="0"/>
          <w:i w:val="0"/>
          <w:color w:val="000000"/>
          <w:sz w:val="28"/>
          <w:szCs w:val="28"/>
        </w:rPr>
        <w:t>участие ГБУ «Пензенский пожарно-спасательный центр» в реализации специального инфраструктурного проекта и иных проектов выделено 716 485,00 руб., освоено 716 485,00 руб. (100,0%).</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0310 0540264700 611 241</w:t>
      </w:r>
      <w:r>
        <w:rPr>
          <w:rFonts w:ascii="Times New Roman" w:hAnsi="Times New Roman" w:cs="Times New Roman" w:eastAsia="Times New Roman"/>
          <w:b w:val="0"/>
          <w:i w:val="0"/>
          <w:color w:val="000000"/>
          <w:sz w:val="28"/>
          <w:szCs w:val="28"/>
        </w:rPr>
        <w:t xml:space="preserve"> в сумме 15 884 400,00 руб. организация эксплуатации системы вызова экстренных оперативных служб по единому номеру «112», обеспечение приема и обработки вызовов перечислено 15 884 400,00 руб. (100,0 %).</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0310 0540465280 612 241</w:t>
      </w:r>
      <w:r>
        <w:rPr>
          <w:rFonts w:ascii="Times New Roman" w:hAnsi="Times New Roman" w:cs="Times New Roman" w:eastAsia="Times New Roman"/>
          <w:b w:val="0"/>
          <w:i w:val="0"/>
          <w:color w:val="000000"/>
          <w:sz w:val="28"/>
          <w:szCs w:val="28"/>
        </w:rPr>
        <w:t xml:space="preserve"> в сумме 360 000,00 руб. на подготовку к пропуску весеннего половодья и летне-осенних паводков освоено 360 000,00 руб. (100,0%).</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0310 0540465280 612 281</w:t>
      </w:r>
      <w:r>
        <w:rPr>
          <w:rFonts w:ascii="Times New Roman" w:hAnsi="Times New Roman" w:cs="Times New Roman" w:eastAsia="Times New Roman"/>
          <w:b w:val="0"/>
          <w:i w:val="0"/>
          <w:color w:val="000000"/>
          <w:sz w:val="28"/>
          <w:szCs w:val="28"/>
        </w:rPr>
        <w:t xml:space="preserve"> в сумме 140 000,00 руб. на подготовку к пропуску весеннего половодья и летне-осенних паводков освоено 140 000,00 руб. (100,0%).</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4"/>
          <w:szCs w:val="24"/>
        </w:rPr>
        <w:t> </w:t>
      </w: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0310 0540465330 612 241</w:t>
      </w:r>
      <w:r>
        <w:rPr>
          <w:rFonts w:ascii="Times New Roman" w:hAnsi="Times New Roman" w:cs="Times New Roman" w:eastAsia="Times New Roman"/>
          <w:b w:val="0"/>
          <w:i w:val="0"/>
          <w:color w:val="000000"/>
          <w:sz w:val="28"/>
          <w:szCs w:val="28"/>
        </w:rPr>
        <w:t xml:space="preserve"> проведение областного смотра-конкурса на звание «Лучший добровольный пожарный Пензенской области» план 103 960,00 руб., освоено 103 960,00 руб. (100,0%).</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В рамках реализации Федерального закона от 21.07.2007 № 185-ФЗ «О Фонде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xml:space="preserve">- </w:t>
      </w:r>
      <w:r>
        <w:rPr>
          <w:rFonts w:ascii="Times New Roman" w:hAnsi="Times New Roman" w:cs="Times New Roman" w:eastAsia="Times New Roman"/>
          <w:b w:val="1"/>
          <w:i w:val="1"/>
          <w:color w:val="000000"/>
          <w:sz w:val="28"/>
          <w:szCs w:val="28"/>
        </w:rPr>
        <w:t>КБК 840 0501 151F367484 522 254</w:t>
      </w:r>
      <w:r>
        <w:rPr>
          <w:rFonts w:ascii="Times New Roman" w:hAnsi="Times New Roman" w:cs="Times New Roman" w:eastAsia="Times New Roman"/>
          <w:b w:val="0"/>
          <w:i w:val="0"/>
          <w:color w:val="000000"/>
          <w:sz w:val="28"/>
          <w:szCs w:val="28"/>
        </w:rPr>
        <w:t xml:space="preserve"> за счет средств бюджета Пензенской области запланировано на год 4 899 672,97 руб. Перечислено 4 899 672,97 руб. или 100,0%.</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xml:space="preserve">- </w:t>
      </w:r>
      <w:r>
        <w:rPr>
          <w:rFonts w:ascii="Times New Roman" w:hAnsi="Times New Roman" w:cs="Times New Roman" w:eastAsia="Times New Roman"/>
          <w:b w:val="1"/>
          <w:i w:val="1"/>
          <w:color w:val="000000"/>
          <w:sz w:val="28"/>
          <w:szCs w:val="28"/>
        </w:rPr>
        <w:t>КБК 840 0501 151F367483 522 254</w:t>
      </w:r>
      <w:r>
        <w:rPr>
          <w:rFonts w:ascii="Times New Roman" w:hAnsi="Times New Roman" w:cs="Times New Roman" w:eastAsia="Times New Roman"/>
          <w:b w:val="0"/>
          <w:i w:val="0"/>
          <w:color w:val="000000"/>
          <w:sz w:val="28"/>
          <w:szCs w:val="28"/>
        </w:rPr>
        <w:t xml:space="preserve"> за счет средств Фонда запланировано на год 485 068 066,55 руб. Перечислено 485 068 066,55 руб. или 100,0%.</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0502 0221ПR4870 540 251</w:t>
      </w:r>
      <w:r>
        <w:rPr>
          <w:rFonts w:ascii="Times New Roman" w:hAnsi="Times New Roman" w:cs="Times New Roman" w:eastAsia="Times New Roman"/>
          <w:b w:val="0"/>
          <w:i w:val="0"/>
          <w:color w:val="000000"/>
          <w:sz w:val="28"/>
          <w:szCs w:val="28"/>
        </w:rPr>
        <w:t xml:space="preserve"> Реализация пилотного проекта, направленного на стимулирование рождаемости план 25 444 294,23 руб. Освоение 25 444 294,23 руб. (100,0%).</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0502 0221ПR4870 540 254</w:t>
      </w:r>
      <w:r>
        <w:rPr>
          <w:rFonts w:ascii="Times New Roman" w:hAnsi="Times New Roman" w:cs="Times New Roman" w:eastAsia="Times New Roman"/>
          <w:b w:val="0"/>
          <w:i w:val="0"/>
          <w:color w:val="000000"/>
          <w:sz w:val="28"/>
          <w:szCs w:val="28"/>
        </w:rPr>
        <w:t xml:space="preserve"> Реализация пилотного проекта, направленного на стимулирование рождаемости план 35 778 637,01 руб. Освоено 35 778 637,01 руб. (100,0%).</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0502 0540465210 244 226</w:t>
      </w:r>
      <w:r>
        <w:rPr>
          <w:rFonts w:ascii="Times New Roman" w:hAnsi="Times New Roman" w:cs="Times New Roman" w:eastAsia="Times New Roman"/>
          <w:b w:val="0"/>
          <w:i w:val="0"/>
          <w:color w:val="000000"/>
          <w:sz w:val="28"/>
          <w:szCs w:val="28"/>
        </w:rPr>
        <w:t xml:space="preserve"> в отчетном периоде перечислена плата за хранение аварийного резерва на сумму 781 800,00 руб. (100,0%) из запланированных на год 781 800,00 руб.</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0502 0540465210 244 346</w:t>
      </w:r>
      <w:r>
        <w:rPr>
          <w:rFonts w:ascii="Times New Roman" w:hAnsi="Times New Roman" w:cs="Times New Roman" w:eastAsia="Times New Roman"/>
          <w:b w:val="0"/>
          <w:i w:val="0"/>
          <w:color w:val="000000"/>
          <w:sz w:val="28"/>
          <w:szCs w:val="28"/>
        </w:rPr>
        <w:t xml:space="preserve"> в целях увеличения аварийного резерва материально-технических ресурсов для предупреждения ситуаций, которые могут привести к нарушению функционирования систем жизнеобеспечения населения и ликвидации их последствий на объектах жилищно-коммунального хозяйства Пензенской области, созданного согласно постановления Правительства Пензенской области от 27.10.2006 г. № 687-пП, закупка материально - технических ресурсов на сумму 15 617 840,00 руб. Освоено 15 617 828,86 руб. (100,0%).</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0502 1520109505 521 251</w:t>
      </w:r>
      <w:r>
        <w:rPr>
          <w:rFonts w:ascii="Times New Roman" w:hAnsi="Times New Roman" w:cs="Times New Roman" w:eastAsia="Times New Roman"/>
          <w:b w:val="0"/>
          <w:i w:val="0"/>
          <w:color w:val="000000"/>
          <w:sz w:val="28"/>
          <w:szCs w:val="28"/>
        </w:rPr>
        <w:t xml:space="preserve"> субсидии на обеспечение мероприятий по модернизации систем коммунальной инфраструктуры за счет средств публично-правовой компании «Фонд развития территорий» план 1 801 500,00 руб., освоено 1 801 500,00 руб. (100,0%).</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0502 1520109505 522 254</w:t>
      </w:r>
      <w:r>
        <w:rPr>
          <w:rFonts w:ascii="Times New Roman" w:hAnsi="Times New Roman" w:cs="Times New Roman" w:eastAsia="Times New Roman"/>
          <w:b w:val="0"/>
          <w:i w:val="0"/>
          <w:color w:val="000000"/>
          <w:sz w:val="28"/>
          <w:szCs w:val="28"/>
        </w:rPr>
        <w:t xml:space="preserve"> субсидии на обеспечение мероприятий по модернизации систем коммунальной инфраструктуры за счет средств публично-правовой компании «Фонд развития территорий» план 37 641 000,00 руб., освоено в 4 квартале 2024 года 35 832 000, 00 руб. (95,2%).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0502 1520109605 521 251</w:t>
      </w:r>
      <w:r>
        <w:rPr>
          <w:rFonts w:ascii="Times New Roman" w:hAnsi="Times New Roman" w:cs="Times New Roman" w:eastAsia="Times New Roman"/>
          <w:b w:val="0"/>
          <w:i w:val="0"/>
          <w:color w:val="000000"/>
          <w:sz w:val="28"/>
          <w:szCs w:val="28"/>
        </w:rPr>
        <w:t xml:space="preserve"> субсидии на обеспечение мероприятий по модернизации систем коммунальной инфраструктуры за счет средств бюджета Пензенской области план 4 000,00 руб., освоено 4 000,00 руб.(100,0%).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0502 1520109605 522 254</w:t>
      </w:r>
      <w:r>
        <w:rPr>
          <w:rFonts w:ascii="Times New Roman" w:hAnsi="Times New Roman" w:cs="Times New Roman" w:eastAsia="Times New Roman"/>
          <w:b w:val="0"/>
          <w:i w:val="0"/>
          <w:color w:val="000000"/>
          <w:sz w:val="28"/>
          <w:szCs w:val="28"/>
        </w:rPr>
        <w:t xml:space="preserve"> субсидии на обеспечение мероприятий по модернизации систем коммунальной инфраструктуры за счет средств бюджета Пензенской области план 7 890 000,00 руб., освоено в 4 квартале 2024 года 7 510 867,00 руб. (95,2%). </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0502 1530171350 521 251</w:t>
      </w:r>
      <w:r>
        <w:rPr>
          <w:rFonts w:ascii="Times New Roman" w:hAnsi="Times New Roman" w:cs="Times New Roman" w:eastAsia="Times New Roman"/>
          <w:b w:val="0"/>
          <w:i w:val="0"/>
          <w:color w:val="000000"/>
          <w:sz w:val="28"/>
          <w:szCs w:val="28"/>
        </w:rPr>
        <w:t xml:space="preserve"> в сумме 83 237 403,63 руб. субсидия на капитальный ремонт и ремонт сетей и сооружений водоснабжения в населенных пунктах Пензенской области. Освоено 83 237 403,63 руб. (100,0%).</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0502 1530171370 522 254</w:t>
      </w:r>
      <w:r>
        <w:rPr>
          <w:rFonts w:ascii="Times New Roman" w:hAnsi="Times New Roman" w:cs="Times New Roman" w:eastAsia="Times New Roman"/>
          <w:b w:val="0"/>
          <w:i w:val="0"/>
          <w:color w:val="000000"/>
          <w:sz w:val="28"/>
          <w:szCs w:val="28"/>
        </w:rPr>
        <w:t xml:space="preserve"> в сумме 11 346 132,00 руб. субсидии на строительство и реконструкцию сетей и сооружений водоснабжения в населенных пунктах Пензенской области. Осноено 11 346 132,00 руб. (100,0%).</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 По </w:t>
      </w:r>
      <w:r>
        <w:rPr>
          <w:rFonts w:ascii="Times New Roman" w:hAnsi="Times New Roman" w:cs="Times New Roman" w:eastAsia="Times New Roman"/>
          <w:b w:val="1"/>
          <w:i w:val="1"/>
          <w:color w:val="000000"/>
          <w:sz w:val="28"/>
          <w:szCs w:val="28"/>
        </w:rPr>
        <w:t>КБК 840 0502 1530171380</w:t>
      </w:r>
      <w:r>
        <w:rPr>
          <w:rFonts w:ascii="Times New Roman" w:hAnsi="Times New Roman" w:cs="Times New Roman" w:eastAsia="Times New Roman"/>
          <w:b w:val="0"/>
          <w:i w:val="0"/>
          <w:color w:val="000000"/>
          <w:sz w:val="28"/>
          <w:szCs w:val="28"/>
        </w:rPr>
        <w:t xml:space="preserve"> </w:t>
      </w:r>
      <w:r>
        <w:rPr>
          <w:rFonts w:ascii="Times New Roman" w:hAnsi="Times New Roman" w:cs="Times New Roman" w:eastAsia="Times New Roman"/>
          <w:b w:val="1"/>
          <w:i w:val="1"/>
          <w:color w:val="000000"/>
          <w:sz w:val="28"/>
          <w:szCs w:val="28"/>
        </w:rPr>
        <w:t>521 254</w:t>
      </w:r>
      <w:r>
        <w:rPr>
          <w:rFonts w:ascii="Times New Roman" w:hAnsi="Times New Roman" w:cs="Times New Roman" w:eastAsia="Times New Roman"/>
          <w:b w:val="0"/>
          <w:i w:val="0"/>
          <w:color w:val="000000"/>
          <w:sz w:val="28"/>
          <w:szCs w:val="28"/>
        </w:rPr>
        <w:t xml:space="preserve"> закупка коммунальной техники при плане 80 160 301,52 руб., освоено 80 160 301,52 руб. (100,0%).</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 xml:space="preserve">КБК 840 0502 1530171560 521 251 </w:t>
      </w:r>
      <w:r>
        <w:rPr>
          <w:rFonts w:ascii="Times New Roman" w:hAnsi="Times New Roman" w:cs="Times New Roman" w:eastAsia="Times New Roman"/>
          <w:b w:val="0"/>
          <w:i w:val="0"/>
          <w:color w:val="000000"/>
          <w:sz w:val="28"/>
          <w:szCs w:val="28"/>
        </w:rPr>
        <w:t xml:space="preserve">субсидии на реконструкцию (модернизацию) и капитальный ремонт тепловых сетей и сооружений в населенных пунктах Пензенской области план 25 019 569,89 руб. Освоено 25 019 569,89 руб. (100,0%).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0502 1530171570 522 254</w:t>
      </w:r>
      <w:r>
        <w:rPr>
          <w:rFonts w:ascii="Times New Roman" w:hAnsi="Times New Roman" w:cs="Times New Roman" w:eastAsia="Times New Roman"/>
          <w:b w:val="0"/>
          <w:i w:val="0"/>
          <w:color w:val="000000"/>
          <w:sz w:val="28"/>
          <w:szCs w:val="28"/>
        </w:rPr>
        <w:t xml:space="preserve"> субсидии на строительство объектов и сетей теплоснабжения в населенных пунктах Пензенской области при плане 52 343 000,00 руб., освоено 53 343 000,00 руб. (100,0%).</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0502 9930020500 244 310</w:t>
      </w:r>
      <w:r>
        <w:rPr>
          <w:rFonts w:ascii="Times New Roman" w:hAnsi="Times New Roman" w:cs="Times New Roman" w:eastAsia="Times New Roman"/>
          <w:b w:val="0"/>
          <w:i w:val="0"/>
          <w:color w:val="000000"/>
          <w:sz w:val="28"/>
          <w:szCs w:val="28"/>
        </w:rPr>
        <w:t xml:space="preserve"> резервный фонд Правительства Пензенской области освоено 3 821 030,96 руб. при плане 3 821 030,96 руб. (100,0%).</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0502 9930020500 244 349</w:t>
      </w:r>
      <w:r>
        <w:rPr>
          <w:rFonts w:ascii="Times New Roman" w:hAnsi="Times New Roman" w:cs="Times New Roman" w:eastAsia="Times New Roman"/>
          <w:b w:val="0"/>
          <w:i w:val="0"/>
          <w:color w:val="000000"/>
          <w:sz w:val="28"/>
          <w:szCs w:val="28"/>
        </w:rPr>
        <w:t xml:space="preserve"> резервный фонд Правительства Пензенской области освоено 4 338 332,80 руб. при плане 4 338 332,80 руб. (100,0%).</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 xml:space="preserve">По КБК </w:t>
      </w:r>
      <w:r>
        <w:rPr>
          <w:rFonts w:ascii="Times New Roman" w:hAnsi="Times New Roman" w:cs="Times New Roman" w:eastAsia="Times New Roman"/>
          <w:b w:val="1"/>
          <w:i w:val="1"/>
          <w:color w:val="000000"/>
          <w:sz w:val="28"/>
          <w:szCs w:val="28"/>
        </w:rPr>
        <w:t>840 0502 9930020500 540 251</w:t>
      </w:r>
      <w:r>
        <w:rPr>
          <w:rFonts w:ascii="Times New Roman" w:hAnsi="Times New Roman" w:cs="Times New Roman" w:eastAsia="Times New Roman"/>
          <w:b w:val="0"/>
          <w:i w:val="0"/>
          <w:color w:val="000000"/>
          <w:sz w:val="28"/>
          <w:szCs w:val="28"/>
        </w:rPr>
        <w:t xml:space="preserve"> резервный фонд Правительства Пензенской области план 83 999 706,18 руб. Перечислено по восстановительным работам 83 999 706,18 руб. (100,0%).</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xml:space="preserve">  По </w:t>
      </w:r>
      <w:r>
        <w:rPr>
          <w:rFonts w:ascii="Times New Roman" w:hAnsi="Times New Roman" w:cs="Times New Roman" w:eastAsia="Times New Roman"/>
          <w:b w:val="1"/>
          <w:i w:val="1"/>
          <w:color w:val="000000"/>
          <w:sz w:val="28"/>
          <w:szCs w:val="28"/>
        </w:rPr>
        <w:t>КБК 840 0502 0221ПR4870 540 251</w:t>
      </w:r>
      <w:r>
        <w:rPr>
          <w:rFonts w:ascii="Times New Roman" w:hAnsi="Times New Roman" w:cs="Times New Roman" w:eastAsia="Times New Roman"/>
          <w:b w:val="0"/>
          <w:i w:val="0"/>
          <w:color w:val="000000"/>
          <w:sz w:val="28"/>
          <w:szCs w:val="28"/>
        </w:rPr>
        <w:t xml:space="preserve"> Реализация пилотного проекта, направленного на стимулирование рождаемости план 153 837 353,42 руб. Освоение 153 837 353,42 руб. (100,0%).</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0503 1530171400 521 251</w:t>
      </w:r>
      <w:r>
        <w:rPr>
          <w:rFonts w:ascii="Times New Roman" w:hAnsi="Times New Roman" w:cs="Times New Roman" w:eastAsia="Times New Roman"/>
          <w:b w:val="0"/>
          <w:i w:val="0"/>
          <w:color w:val="000000"/>
          <w:sz w:val="28"/>
          <w:szCs w:val="28"/>
        </w:rPr>
        <w:t xml:space="preserve"> в сумме 6 717 901,51 руб. субсидия на совершенствование систем наружного освещения населенных пунктов перечислено в муниципальные образования Пензенской области 6 717 901,51 руб., что составило 100,0%.</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0503 231F255550 523 251</w:t>
      </w:r>
      <w:r>
        <w:rPr>
          <w:rFonts w:ascii="Times New Roman" w:hAnsi="Times New Roman" w:cs="Times New Roman" w:eastAsia="Times New Roman"/>
          <w:b w:val="0"/>
          <w:i w:val="0"/>
          <w:color w:val="000000"/>
          <w:sz w:val="28"/>
          <w:szCs w:val="28"/>
        </w:rPr>
        <w:t xml:space="preserve"> в сумме 311 254 747,47 руб. субсидия на поддержку государственных программ субъектов Российской Федерации и муниципальных программ формирования современной городской среды, освоено 302 887 615,68 руб (97,3%).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0503 23301R2990 521 251</w:t>
      </w:r>
      <w:r>
        <w:rPr>
          <w:rFonts w:ascii="Times New Roman" w:hAnsi="Times New Roman" w:cs="Times New Roman" w:eastAsia="Times New Roman"/>
          <w:b w:val="0"/>
          <w:i w:val="0"/>
          <w:color w:val="000000"/>
          <w:sz w:val="28"/>
          <w:szCs w:val="28"/>
        </w:rPr>
        <w:t xml:space="preserve"> субсидия на обустройство и восстановление воинских захоронений в сумме 460 000,00 руб. Освоено во 2 квартале 460 000,00 руб. (100,0%).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0503 2330171420 540 251</w:t>
      </w:r>
      <w:r>
        <w:rPr>
          <w:rFonts w:ascii="Times New Roman" w:hAnsi="Times New Roman" w:cs="Times New Roman" w:eastAsia="Times New Roman"/>
          <w:b w:val="0"/>
          <w:i w:val="0"/>
          <w:color w:val="000000"/>
          <w:sz w:val="28"/>
          <w:szCs w:val="28"/>
        </w:rPr>
        <w:t xml:space="preserve"> в сумме 10 000 000,00 руб. субсидия на премирование территорий – победителей конкурса на звание «Самое благоустроенное городское (сельское) поселение Пензенской области», освоено в 2024 году 10 000 000,00 руб. (100,0%). </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0503 9930020500 244 310</w:t>
      </w:r>
      <w:r>
        <w:rPr>
          <w:rFonts w:ascii="Times New Roman" w:hAnsi="Times New Roman" w:cs="Times New Roman" w:eastAsia="Times New Roman"/>
          <w:b w:val="0"/>
          <w:i w:val="0"/>
          <w:color w:val="000000"/>
          <w:sz w:val="28"/>
          <w:szCs w:val="28"/>
        </w:rPr>
        <w:t xml:space="preserve"> резервный фонд Правительства Пензенской области освоено 1 768 443,50 руб. при плане 1 768 443,50 руб. (100,0%).</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0503 9930020500 244 349</w:t>
      </w:r>
      <w:r>
        <w:rPr>
          <w:rFonts w:ascii="Times New Roman" w:hAnsi="Times New Roman" w:cs="Times New Roman" w:eastAsia="Times New Roman"/>
          <w:b w:val="0"/>
          <w:i w:val="0"/>
          <w:color w:val="000000"/>
          <w:sz w:val="28"/>
          <w:szCs w:val="28"/>
        </w:rPr>
        <w:t xml:space="preserve"> резервный фонд Правительства Пензенской области освоено 8 076 781,20 руб. при плане 8 076 781,20 руб. (100,0%).</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xml:space="preserve">  По </w:t>
      </w:r>
      <w:r>
        <w:rPr>
          <w:rFonts w:ascii="Times New Roman" w:hAnsi="Times New Roman" w:cs="Times New Roman" w:eastAsia="Times New Roman"/>
          <w:b w:val="1"/>
          <w:i w:val="1"/>
          <w:color w:val="000000"/>
          <w:sz w:val="28"/>
          <w:szCs w:val="28"/>
        </w:rPr>
        <w:t>КБК 840 0505 1540166210 633 246</w:t>
      </w:r>
      <w:r>
        <w:rPr>
          <w:rFonts w:ascii="Times New Roman" w:hAnsi="Times New Roman" w:cs="Times New Roman" w:eastAsia="Times New Roman"/>
          <w:b w:val="0"/>
          <w:i w:val="0"/>
          <w:color w:val="000000"/>
          <w:sz w:val="28"/>
          <w:szCs w:val="28"/>
        </w:rPr>
        <w:t xml:space="preserve"> имущественный взнос Пензенской области в некоммерческую организацию «Региональный фонд капитального ремонта многоквартирных домов Пензенской области» в отчетном периоде перечислен на сумму 51 040 100,00 руб. или 100,0% от годового объема в сумме 51 040 100,00 руб.</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 xml:space="preserve">КБК 840 0505 1540174630 530 251 </w:t>
      </w:r>
      <w:r>
        <w:rPr>
          <w:rFonts w:ascii="Times New Roman" w:hAnsi="Times New Roman" w:cs="Times New Roman" w:eastAsia="Times New Roman"/>
          <w:b w:val="0"/>
          <w:i w:val="0"/>
          <w:color w:val="000000"/>
          <w:sz w:val="28"/>
          <w:szCs w:val="28"/>
        </w:rPr>
        <w:t>субвенции на исполнение отдельных государственных полномочий Пензенской области по региональному государственному лицензионному контролю за осуществлением предпринимательской деятельности по управлению многоквартирными домами и региональному государственному жилищному контролю (надзору) план 1 136 702,38 руб. Перечислено муниципальным образованиям 1 122 685,83 руб. (99,0%).</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0505 231F254240 523 251</w:t>
      </w:r>
      <w:r>
        <w:rPr>
          <w:rFonts w:ascii="Times New Roman" w:hAnsi="Times New Roman" w:cs="Times New Roman" w:eastAsia="Times New Roman"/>
          <w:b w:val="0"/>
          <w:i w:val="0"/>
          <w:color w:val="000000"/>
          <w:sz w:val="28"/>
          <w:szCs w:val="28"/>
        </w:rPr>
        <w:t xml:space="preserve"> в сумме 93 055 656,57 руб. субсидия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Освоено во 2 квартале 93 055 656,57 руб. (100,0%). </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 xml:space="preserve">КБК 840 0505 8030098720 244 226 </w:t>
      </w:r>
      <w:r>
        <w:rPr>
          <w:rFonts w:ascii="Times New Roman" w:hAnsi="Times New Roman" w:cs="Times New Roman" w:eastAsia="Times New Roman"/>
          <w:b w:val="0"/>
          <w:i w:val="0"/>
          <w:color w:val="000000"/>
          <w:sz w:val="28"/>
          <w:szCs w:val="28"/>
        </w:rPr>
        <w:t>прочие расходы, связанные с оплатой услуг по предоставлению информации населению через средства массовой информации - 3 436,58 руб. Освоение 3 436,58 руб. (100,0%).</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 xml:space="preserve">КБК 840 0505 9930020500 540 251 </w:t>
      </w:r>
      <w:r>
        <w:rPr>
          <w:rFonts w:ascii="Times New Roman" w:hAnsi="Times New Roman" w:cs="Times New Roman" w:eastAsia="Times New Roman"/>
          <w:b w:val="0"/>
          <w:i w:val="0"/>
          <w:color w:val="000000"/>
          <w:sz w:val="28"/>
          <w:szCs w:val="28"/>
        </w:rPr>
        <w:t>резервный фонд Правительства Пензенской области освоено 26 804 757,42 руб. при плане 26 804 757,42 руб. (100,0%).</w:t>
      </w:r>
    </w:p>
    <w:p>
      <w:pPr>
        <w:spacing w:before="0" w:after="0" w:beforeAutospacing="0" w:afterAutospacing="0"/>
        <w:ind w:firstLine="720" w:left="0" w:right="0"/>
        <w:jc w:val="both"/>
        <w:outlineLvl w:val="9"/>
        <w:rPr>
          <w:color w:val="000000"/>
        </w:rPr>
      </w:pPr>
      <w:r>
        <w:rPr>
          <w:rFonts w:ascii="Calibri" w:hAnsi="Calibri" w:cs="Calibri" w:eastAsia="Calibri"/>
          <w:b w:val="0"/>
          <w:i w:val="0"/>
          <w:color w:val="000000"/>
          <w:sz w:val="22"/>
          <w:szCs w:val="22"/>
        </w:rPr>
        <w:t> </w:t>
      </w: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0505 9940020920 831 296</w:t>
      </w:r>
      <w:r>
        <w:rPr>
          <w:rFonts w:ascii="Times New Roman" w:hAnsi="Times New Roman" w:cs="Times New Roman" w:eastAsia="Times New Roman"/>
          <w:b w:val="0"/>
          <w:i w:val="0"/>
          <w:color w:val="000000"/>
          <w:sz w:val="28"/>
          <w:szCs w:val="28"/>
        </w:rPr>
        <w:t xml:space="preserve"> исполнение судебных актов по искам к органам государственной власти Пензенской области и государственным учреждениям Пензенской области при плане 75 350,00 руб., освоено 75 350,00 руб. (100,0%).</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0505 9990020990 853 295</w:t>
      </w:r>
      <w:r>
        <w:rPr>
          <w:rFonts w:ascii="Times New Roman" w:hAnsi="Times New Roman" w:cs="Times New Roman" w:eastAsia="Times New Roman"/>
          <w:b w:val="0"/>
          <w:i w:val="0"/>
          <w:color w:val="000000"/>
          <w:sz w:val="28"/>
          <w:szCs w:val="28"/>
        </w:rPr>
        <w:t xml:space="preserve"> Расходы на оплату денежных взысканий (штрафов) за нарушение условий договоров (соглашений) о предоставлении целевых межбюджетных трансфертов при плане 184 920,00 руб., освоено 184 920,00 руб. (100,0%).</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w:t>
      </w:r>
    </w:p>
    <w:p>
      <w:pPr>
        <w:spacing w:before="0" w:after="0" w:beforeAutospacing="0" w:afterAutospacing="0"/>
        <w:ind w:firstLine="0" w:left="0" w:right="0"/>
        <w:jc w:val="center"/>
        <w:outlineLvl w:val="9"/>
        <w:rPr>
          <w:color w:val="000000"/>
        </w:rPr>
      </w:pPr>
      <w:r>
        <w:rPr>
          <w:rFonts w:ascii="Times New Roman" w:hAnsi="Times New Roman" w:cs="Times New Roman" w:eastAsia="Times New Roman"/>
          <w:b w:val="1"/>
          <w:i w:val="0"/>
          <w:color w:val="000000"/>
          <w:sz w:val="28"/>
          <w:szCs w:val="28"/>
        </w:rPr>
        <w:t xml:space="preserve">Информация о реализации государственной программы Пензенской области «Формирование комфортной городской среды на территории Пензенской области» </w:t>
      </w:r>
    </w:p>
    <w:p>
      <w:pPr>
        <w:spacing w:before="0" w:after="0" w:beforeAutospacing="0" w:afterAutospacing="0"/>
        <w:ind w:firstLine="560" w:left="0" w:right="0"/>
        <w:jc w:val="both"/>
        <w:outlineLvl w:val="9"/>
        <w:rPr>
          <w:color w:val="000000"/>
        </w:rPr>
      </w:pPr>
      <w:r>
        <w:rPr>
          <w:rFonts w:ascii="Times New Roman" w:hAnsi="Times New Roman" w:cs="Times New Roman" w:eastAsia="Times New Roman"/>
          <w:b w:val="0"/>
          <w:i w:val="0"/>
          <w:color w:val="000000"/>
          <w:sz w:val="28"/>
          <w:szCs w:val="28"/>
        </w:rPr>
        <w:t xml:space="preserve">  </w:t>
      </w:r>
    </w:p>
    <w:p>
      <w:pPr>
        <w:spacing w:before="0" w:after="0" w:beforeAutospacing="0" w:afterAutospacing="0"/>
        <w:ind w:firstLine="560" w:left="0" w:right="0"/>
        <w:jc w:val="both"/>
        <w:outlineLvl w:val="9"/>
        <w:rPr>
          <w:color w:val="000000"/>
        </w:rPr>
      </w:pPr>
      <w:r>
        <w:rPr>
          <w:rFonts w:ascii="Times New Roman" w:hAnsi="Times New Roman" w:cs="Times New Roman" w:eastAsia="Times New Roman"/>
          <w:b w:val="0"/>
          <w:i w:val="0"/>
          <w:color w:val="000000"/>
          <w:sz w:val="28"/>
          <w:szCs w:val="28"/>
        </w:rPr>
        <w:t xml:space="preserve">В рамках Государственной программы реализуются 3 проекта, являющиеся структурными элементами Государственной программы: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 региональный проект «Формирование комфортной городской среды»;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 региональный проект, не входящий в состав национального проекта «Увековечение памяти погибших при защите Отечества»;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 ведомственный проект «Благоустройство территорий муниципальных образований Пензенской области».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4"/>
          <w:szCs w:val="24"/>
        </w:rPr>
        <w:t>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1"/>
          <w:i w:val="0"/>
          <w:color w:val="000000"/>
          <w:sz w:val="28"/>
          <w:szCs w:val="28"/>
        </w:rPr>
        <w:t>I.</w:t>
      </w:r>
      <w:r>
        <w:rPr>
          <w:rFonts w:ascii="Times New Roman" w:hAnsi="Times New Roman" w:cs="Times New Roman" w:eastAsia="Times New Roman"/>
          <w:b w:val="0"/>
          <w:i w:val="0"/>
          <w:color w:val="000000"/>
          <w:sz w:val="28"/>
          <w:szCs w:val="28"/>
        </w:rPr>
        <w:t xml:space="preserve"> В рамках регионального проекта «Формирование комфортной городской среды» национального проекта «Жилье и городская среда» (далее – Региональный проект) с 2019 года реализуются следующие финансовые мероприятия: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 мероприятие «Реализованы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 мероприятие «Реализованы мероприятия по благоустройству мест массового отдыха населения (городских парков), общественных территорий (набережные, центральные площади, парки и др.) и иные мероприятия, предусмотренные государственными (муниципальными) программами формирования современной городской среды». </w:t>
      </w:r>
    </w:p>
    <w:p>
      <w:pPr>
        <w:spacing w:before="0" w:after="0" w:beforeAutospacing="0" w:afterAutospacing="0"/>
        <w:ind w:firstLine="720" w:left="0" w:right="0"/>
        <w:jc w:val="center"/>
        <w:outlineLvl w:val="9"/>
        <w:rPr>
          <w:color w:val="000000"/>
        </w:rPr>
      </w:pPr>
      <w:r>
        <w:rPr>
          <w:rFonts w:ascii="Times New Roman" w:hAnsi="Times New Roman" w:cs="Times New Roman" w:eastAsia="Times New Roman"/>
          <w:b w:val="1"/>
          <w:i w:val="1"/>
          <w:color w:val="000000"/>
          <w:sz w:val="28"/>
          <w:szCs w:val="28"/>
        </w:rPr>
        <w:t>Мероприятие: «Поддержка муниципальных программ формирования комфортной (современной) городской среды в рамках регионального проекта «Формирование комфортной городской среды»»</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В реализацию мероприятий Регионального проекта ежегодно вовлекаются все городские округа и муниципальные районы Пензенской области.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В 2024 году планировалось благоустроить </w:t>
      </w:r>
      <w:r>
        <w:rPr>
          <w:rFonts w:ascii="Times New Roman" w:hAnsi="Times New Roman" w:cs="Times New Roman" w:eastAsia="Times New Roman"/>
          <w:b w:val="1"/>
          <w:i w:val="0"/>
          <w:color w:val="000000"/>
          <w:sz w:val="28"/>
          <w:szCs w:val="28"/>
        </w:rPr>
        <w:t>58</w:t>
      </w:r>
      <w:r>
        <w:rPr>
          <w:rFonts w:ascii="Times New Roman" w:hAnsi="Times New Roman" w:cs="Times New Roman" w:eastAsia="Times New Roman"/>
          <w:b w:val="0"/>
          <w:i w:val="0"/>
          <w:color w:val="000000"/>
          <w:sz w:val="28"/>
          <w:szCs w:val="28"/>
        </w:rPr>
        <w:t xml:space="preserve"> объектов, из них 20 дворовых территорий и 38 общественных пространств.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Фактически на территории </w:t>
      </w:r>
      <w:r>
        <w:rPr>
          <w:rFonts w:ascii="Times New Roman" w:hAnsi="Times New Roman" w:cs="Times New Roman" w:eastAsia="Times New Roman"/>
          <w:b w:val="1"/>
          <w:i w:val="0"/>
          <w:color w:val="000000"/>
          <w:sz w:val="28"/>
          <w:szCs w:val="28"/>
        </w:rPr>
        <w:t>34</w:t>
      </w:r>
      <w:r>
        <w:rPr>
          <w:rFonts w:ascii="Times New Roman" w:hAnsi="Times New Roman" w:cs="Times New Roman" w:eastAsia="Times New Roman"/>
          <w:b w:val="0"/>
          <w:i w:val="0"/>
          <w:color w:val="000000"/>
          <w:sz w:val="28"/>
          <w:szCs w:val="28"/>
        </w:rPr>
        <w:t xml:space="preserve"> муниципальных образований реализованы проекты благоустройства </w:t>
      </w:r>
      <w:r>
        <w:rPr>
          <w:rFonts w:ascii="Times New Roman" w:hAnsi="Times New Roman" w:cs="Times New Roman" w:eastAsia="Times New Roman"/>
          <w:b w:val="1"/>
          <w:i w:val="0"/>
          <w:color w:val="000000"/>
          <w:sz w:val="28"/>
          <w:szCs w:val="28"/>
        </w:rPr>
        <w:t>65</w:t>
      </w:r>
      <w:r>
        <w:rPr>
          <w:rFonts w:ascii="Times New Roman" w:hAnsi="Times New Roman" w:cs="Times New Roman" w:eastAsia="Times New Roman"/>
          <w:b w:val="0"/>
          <w:i w:val="0"/>
          <w:color w:val="000000"/>
          <w:sz w:val="28"/>
          <w:szCs w:val="28"/>
        </w:rPr>
        <w:t xml:space="preserve"> объектов, в том числе 24 дворовые территории и 41 общественных пространств (парки, скверы, площади и иные общедоступные места). Из них, одна общественная территория – площадь возле монумента погибшим воинам, расположенная на территории Родниковского сельсовета Лунинского района в рамках областного конкурса «Самое благоустроенное муниципальное образование».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Таким образом, общее количество благоустроенных объектов превышает установленные плановые значения на 7 территорий (план – 58 объектов, факт – 65 объектов).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Произведена оплата выполненных работ и поставки товаров на общую сумму </w:t>
      </w:r>
      <w:r>
        <w:rPr>
          <w:rFonts w:ascii="Times New Roman" w:hAnsi="Times New Roman" w:cs="Times New Roman" w:eastAsia="Times New Roman"/>
          <w:b w:val="1"/>
          <w:i w:val="0"/>
          <w:color w:val="000000"/>
          <w:sz w:val="28"/>
          <w:szCs w:val="28"/>
        </w:rPr>
        <w:t>315 015,7</w:t>
      </w:r>
      <w:r>
        <w:rPr>
          <w:rFonts w:ascii="Times New Roman" w:hAnsi="Times New Roman" w:cs="Times New Roman" w:eastAsia="Times New Roman"/>
          <w:b w:val="0"/>
          <w:i w:val="0"/>
          <w:color w:val="000000"/>
          <w:sz w:val="28"/>
          <w:szCs w:val="28"/>
        </w:rPr>
        <w:t xml:space="preserve"> тыс. руб. (кассовое исполнение составляет </w:t>
      </w:r>
      <w:r>
        <w:rPr>
          <w:rFonts w:ascii="Times New Roman" w:hAnsi="Times New Roman" w:cs="Times New Roman" w:eastAsia="Times New Roman"/>
          <w:b w:val="1"/>
          <w:i w:val="0"/>
          <w:color w:val="000000"/>
          <w:sz w:val="28"/>
          <w:szCs w:val="28"/>
        </w:rPr>
        <w:t>97,3 %</w:t>
      </w:r>
      <w:r>
        <w:rPr>
          <w:rFonts w:ascii="Times New Roman" w:hAnsi="Times New Roman" w:cs="Times New Roman" w:eastAsia="Times New Roman"/>
          <w:b w:val="0"/>
          <w:i w:val="0"/>
          <w:color w:val="000000"/>
          <w:sz w:val="28"/>
          <w:szCs w:val="28"/>
        </w:rPr>
        <w:t xml:space="preserve"> от общего объема бюджетных ассигнований), из них средства: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 федерального бюджета – 299 858,7 тыс. руб.;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 бюджета Пензенской области – 3 028,9 тыс. руб.;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бюджетов муниципальных образований – 12 128,1 тыс. руб.  </w:t>
      </w:r>
    </w:p>
    <w:p>
      <w:pPr>
        <w:spacing w:before="0" w:after="0" w:beforeAutospacing="0" w:afterAutospacing="0"/>
        <w:ind w:firstLine="720" w:left="0" w:right="0"/>
        <w:jc w:val="center"/>
        <w:outlineLvl w:val="9"/>
        <w:rPr>
          <w:color w:val="000000"/>
        </w:rPr>
      </w:pPr>
      <w:r>
        <w:rPr>
          <w:rFonts w:ascii="Times New Roman" w:hAnsi="Times New Roman" w:cs="Times New Roman" w:eastAsia="Times New Roman"/>
          <w:b w:val="1"/>
          <w:i w:val="1"/>
          <w:color w:val="000000"/>
          <w:sz w:val="28"/>
          <w:szCs w:val="28"/>
        </w:rPr>
        <w:t>Мероприятие: «Реализованы проекты победителей</w:t>
      </w:r>
      <w:r>
        <w:rPr>
          <w:rFonts w:ascii="Times New Roman" w:hAnsi="Times New Roman" w:cs="Times New Roman" w:eastAsia="Times New Roman"/>
          <w:b w:val="1"/>
          <w:i w:val="0"/>
          <w:color w:val="000000"/>
          <w:sz w:val="28"/>
          <w:szCs w:val="28"/>
        </w:rPr>
        <w:t xml:space="preserve"> </w:t>
      </w:r>
      <w:r>
        <w:rPr>
          <w:rFonts w:ascii="Times New Roman" w:hAnsi="Times New Roman" w:cs="Times New Roman" w:eastAsia="Times New Roman"/>
          <w:b w:val="1"/>
          <w:i w:val="1"/>
          <w:color w:val="000000"/>
          <w:sz w:val="28"/>
          <w:szCs w:val="28"/>
        </w:rPr>
        <w:t>Всероссийский конкурс лучших проектов создания комфортной городской среды в малых городах и исторических поселениях»</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В 2024 году реализуется проект благоустройства парка «СУПЕРПАРК. Город «живой воды» города Каменки Каменского района, ставшего победителем VIII Всероссийского конкурса лучших проектов создания комфортной городской среды, состоявшегося в 2023 году. Премия из федерального бюджета на реализацию проекта города Каменки Каменского района в виде субсидии составляет 92 125,1 тыс. руб..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При софинансировании из областного бюджета и местного бюджета общий объем бюджетных ассигнований составляет </w:t>
      </w:r>
      <w:r>
        <w:rPr>
          <w:rFonts w:ascii="Times New Roman" w:hAnsi="Times New Roman" w:cs="Times New Roman" w:eastAsia="Times New Roman"/>
          <w:b w:val="1"/>
          <w:i w:val="0"/>
          <w:color w:val="000000"/>
          <w:sz w:val="28"/>
          <w:szCs w:val="28"/>
        </w:rPr>
        <w:t>93 995,6</w:t>
      </w:r>
      <w:r>
        <w:rPr>
          <w:rFonts w:ascii="Times New Roman" w:hAnsi="Times New Roman" w:cs="Times New Roman" w:eastAsia="Times New Roman"/>
          <w:b w:val="0"/>
          <w:i w:val="0"/>
          <w:color w:val="000000"/>
          <w:sz w:val="28"/>
          <w:szCs w:val="28"/>
        </w:rPr>
        <w:t xml:space="preserve"> тыс. руб., из них: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 средства федерального бюджета – 92 125,1 тыс. руб.;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 средства бюджета Пензенской области – 930,6 тыс. руб.;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 средства местного бюджета – 939,9 тыс. руб..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Средства субсидии в соответствии с заключенными соглашениями доведены до администрации города Каменки, и затем до муниципального заказчика - МБУ «Благоустройство города Каменки» в апреле 2024 года.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По результатам конкурсных процедур заключен муниципальный контракт на выполнение работ между МБУ «Благоустройство города Каменки» и ООО «Рыжов и Ко» 22 марта 2024 года.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За отчетный 2024 год средства субсидии из бюджета Пензенской области перечислены в бюджет города Каменки и доведены до подведомственного муниципального учреждения для оплаты выполненных работ и поставки товаров в полном объеме, кассовое исполнение составляет 100,0 %. </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 xml:space="preserve">Итого по региональному проекту «Формирование комфортной городской среды» кассовое исполнение за отчетный период составляет </w:t>
      </w:r>
      <w:r>
        <w:rPr>
          <w:rFonts w:ascii="Times New Roman" w:hAnsi="Times New Roman" w:cs="Times New Roman" w:eastAsia="Times New Roman"/>
          <w:b w:val="1"/>
          <w:i w:val="0"/>
          <w:color w:val="000000"/>
          <w:sz w:val="28"/>
          <w:szCs w:val="28"/>
        </w:rPr>
        <w:t>409 011,3</w:t>
      </w:r>
      <w:r>
        <w:rPr>
          <w:rFonts w:ascii="Times New Roman" w:hAnsi="Times New Roman" w:cs="Times New Roman" w:eastAsia="Times New Roman"/>
          <w:b w:val="0"/>
          <w:i w:val="0"/>
          <w:color w:val="000000"/>
          <w:sz w:val="28"/>
          <w:szCs w:val="28"/>
        </w:rPr>
        <w:t xml:space="preserve"> тыс. руб. (</w:t>
      </w:r>
      <w:r>
        <w:rPr>
          <w:rFonts w:ascii="Times New Roman" w:hAnsi="Times New Roman" w:cs="Times New Roman" w:eastAsia="Times New Roman"/>
          <w:b w:val="1"/>
          <w:i w:val="0"/>
          <w:color w:val="000000"/>
          <w:sz w:val="28"/>
          <w:szCs w:val="28"/>
        </w:rPr>
        <w:t>97,9 %</w:t>
      </w:r>
      <w:r>
        <w:rPr>
          <w:rFonts w:ascii="Times New Roman" w:hAnsi="Times New Roman" w:cs="Times New Roman" w:eastAsia="Times New Roman"/>
          <w:b w:val="0"/>
          <w:i w:val="0"/>
          <w:color w:val="000000"/>
          <w:sz w:val="28"/>
          <w:szCs w:val="28"/>
        </w:rPr>
        <w:t xml:space="preserve"> от общего объема бюджетных ассигнований), из них средства: </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 xml:space="preserve">- федерального бюджета – 391 983,8 тыс. руб.; </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 xml:space="preserve">- бюджета Пензенской области – 3 959,5 тыс. руб.; </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 xml:space="preserve">- бюджетов муниципальный образований – 13 068,0 тыс. руб.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1"/>
          <w:i w:val="0"/>
          <w:color w:val="000000"/>
          <w:sz w:val="28"/>
          <w:szCs w:val="28"/>
        </w:rPr>
        <w:t>II.</w:t>
      </w:r>
      <w:r>
        <w:rPr>
          <w:rFonts w:ascii="Times New Roman" w:hAnsi="Times New Roman" w:cs="Times New Roman" w:eastAsia="Times New Roman"/>
          <w:b w:val="0"/>
          <w:i w:val="0"/>
          <w:color w:val="000000"/>
          <w:sz w:val="28"/>
          <w:szCs w:val="28"/>
        </w:rPr>
        <w:t xml:space="preserve"> В рамках иного</w:t>
      </w:r>
      <w:r>
        <w:rPr>
          <w:rFonts w:ascii="Times New Roman" w:hAnsi="Times New Roman" w:cs="Times New Roman" w:eastAsia="Times New Roman"/>
          <w:b w:val="1"/>
          <w:i w:val="0"/>
          <w:color w:val="000000"/>
          <w:sz w:val="28"/>
          <w:szCs w:val="28"/>
        </w:rPr>
        <w:t xml:space="preserve"> </w:t>
      </w:r>
      <w:r>
        <w:rPr>
          <w:rFonts w:ascii="Times New Roman" w:hAnsi="Times New Roman" w:cs="Times New Roman" w:eastAsia="Times New Roman"/>
          <w:b w:val="0"/>
          <w:i w:val="0"/>
          <w:color w:val="000000"/>
          <w:sz w:val="28"/>
          <w:szCs w:val="28"/>
        </w:rPr>
        <w:t>регионального проекта</w:t>
      </w:r>
      <w:r>
        <w:rPr>
          <w:rFonts w:ascii="Times New Roman" w:hAnsi="Times New Roman" w:cs="Times New Roman" w:eastAsia="Times New Roman"/>
          <w:b w:val="1"/>
          <w:i w:val="0"/>
          <w:color w:val="000000"/>
          <w:sz w:val="28"/>
          <w:szCs w:val="28"/>
        </w:rPr>
        <w:t xml:space="preserve"> «Увековечение памяти погибших при защите Отечества на 2019-2024»</w:t>
      </w:r>
      <w:r>
        <w:rPr>
          <w:rFonts w:ascii="Times New Roman" w:hAnsi="Times New Roman" w:cs="Times New Roman" w:eastAsia="Times New Roman"/>
          <w:b w:val="0"/>
          <w:i w:val="0"/>
          <w:color w:val="000000"/>
          <w:sz w:val="28"/>
          <w:szCs w:val="28"/>
        </w:rPr>
        <w:t xml:space="preserve">, не входящего в состав национального проекта (далее – Иной региональный проект), реализуются следующие мероприятия: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 восстановление (благоустройство) воинских захоронений;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 установка мемориальных знаков на воинских захоронениях;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 нанесение на мемориальные сооружения имен погибших при защите Отечества;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 проведение мероприятий, в том числе возмещение расходов, по захоронению (перезахоронению) останков погибших при защите Отечества жителей Пензенской области.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Всего в мероприятиях Иного регионального проекта в 2024 году принимает участие Волче-Вражский сельсовет Тамалинского района, на территории которого до 31 июля 2024 года реализованы следующие мероприятия: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 восстановление (благоустройство) воинских захоронений – 2 ед.;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 установка мемориальных знаков на воинских захоронениях – 2 ед.;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 нанесение имен погибших при защите Отчества на мемориальные сооружения – 2 ед.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На реализацию вышеуказанных мероприятий выделены бюджетные ассигнования в объеме 478,4 тыс. руб., из них средства: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 федерального бюджета – 423,2 тыс. руб.;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 бюджета Пензенской области – 36,8 тыс. руб.;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 местных бюджетов – 18,4 тыс. руб.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Муниципальный контракт на выполнение работ заключен в марте 2024 года. Работы выполнены в июне 2024 года. Оплата выполненных работ произведена во II квартале 2024 года, кассовое исполнение составляет 100,0%.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1"/>
          <w:i w:val="0"/>
          <w:color w:val="000000"/>
          <w:sz w:val="28"/>
          <w:szCs w:val="28"/>
        </w:rPr>
        <w:t xml:space="preserve">III. </w:t>
      </w:r>
      <w:r>
        <w:rPr>
          <w:rFonts w:ascii="Times New Roman" w:hAnsi="Times New Roman" w:cs="Times New Roman" w:eastAsia="Times New Roman"/>
          <w:b w:val="0"/>
          <w:i w:val="0"/>
          <w:color w:val="000000"/>
          <w:sz w:val="28"/>
          <w:szCs w:val="28"/>
        </w:rPr>
        <w:t xml:space="preserve">В рамках </w:t>
      </w:r>
      <w:r>
        <w:rPr>
          <w:rFonts w:ascii="Times New Roman" w:hAnsi="Times New Roman" w:cs="Times New Roman" w:eastAsia="Times New Roman"/>
          <w:b w:val="1"/>
          <w:i w:val="0"/>
          <w:color w:val="000000"/>
          <w:sz w:val="28"/>
          <w:szCs w:val="28"/>
        </w:rPr>
        <w:t>ведомственного проекта «Благоустройство территорий муниципальных образований Пензенской области»</w:t>
      </w:r>
      <w:r>
        <w:rPr>
          <w:rFonts w:ascii="Times New Roman" w:hAnsi="Times New Roman" w:cs="Times New Roman" w:eastAsia="Times New Roman"/>
          <w:b w:val="0"/>
          <w:i w:val="0"/>
          <w:color w:val="000000"/>
          <w:sz w:val="28"/>
          <w:szCs w:val="28"/>
        </w:rPr>
        <w:t xml:space="preserve"> (далее – Ведомственный проект) в бюджете Пензенской области предусмотрены средства в объеме 10 000,0 тыс. руб.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Ведомственный проект включает в себя следующие мероприятия: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 мероприятия, направленные на благоустройство территорий муниципальных образований Пензенской области;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 реализация проектов благоустройства междворовых территорий городских округов и городских поселений Пензенской области;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 реализация инициативных проектов жителей муниципальных образований Пензенской области в сфере благоустройства.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В 2024 году запланированы к реализации мероприятия, направленные на благоустройство территорий муниципальных образований Пензенской области, в рамках которых проводится областной конкурс «Самое благоустроенное муниципальное образование».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Объем, предусмотренных в бюджете Пензенской области средств на указанные мероприятия составляет 10 000,0 тыс. руб.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Бюджетные ассигнования распределены среди 18 муниципальных образований – победителей областного конкурса после проведения конкурса во II квартале 2024 года. Соглашения о предоставлении средств иного межбюджетного трансферта заключены в III квартале 2024 года.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Средства денежной премии направлены на благоустройство территорий и закупку коммунальной техники.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По состоянию на 31 декабря 2024 года средства в размере 10 000,0 тыс. руб. использованы полном объеме, кассовое исполнение составляет 100,0%.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w:t>
      </w:r>
    </w:p>
    <w:p>
      <w:pPr>
        <w:spacing w:before="0" w:after="0" w:beforeAutospacing="0" w:afterAutospacing="0"/>
        <w:ind w:firstLine="0" w:left="0" w:right="0"/>
        <w:jc w:val="center"/>
        <w:outlineLvl w:val="9"/>
        <w:rPr>
          <w:color w:val="000000"/>
        </w:rPr>
      </w:pPr>
      <w:r>
        <w:rPr>
          <w:rFonts w:ascii="Times New Roman" w:hAnsi="Times New Roman" w:cs="Times New Roman" w:eastAsia="Times New Roman"/>
          <w:b w:val="1"/>
          <w:i w:val="0"/>
          <w:color w:val="000000"/>
          <w:sz w:val="28"/>
          <w:szCs w:val="28"/>
        </w:rPr>
        <w:t xml:space="preserve">Информация о реализации государственной программы Пензенской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Пензенской области» </w:t>
      </w:r>
    </w:p>
    <w:p>
      <w:pPr>
        <w:spacing w:before="0" w:after="0" w:beforeAutospacing="0" w:afterAutospacing="0"/>
        <w:ind w:firstLine="0" w:left="0" w:right="0"/>
        <w:jc w:val="center"/>
        <w:outlineLvl w:val="9"/>
        <w:rPr>
          <w:color w:val="000000"/>
        </w:rPr>
      </w:pPr>
      <w:r>
        <w:rPr>
          <w:rFonts w:ascii="Times New Roman" w:hAnsi="Times New Roman" w:cs="Times New Roman" w:eastAsia="Times New Roman"/>
          <w:b w:val="1"/>
          <w:i w:val="0"/>
          <w:color w:val="000000"/>
          <w:sz w:val="28"/>
          <w:szCs w:val="28"/>
        </w:rPr>
        <w:t> </w:t>
      </w:r>
    </w:p>
    <w:p>
      <w:pPr>
        <w:numPr>
          <w:ilvl w:val="0"/>
          <w:numId w:val="1"/>
        </w:numPr>
        <w:shd w:val="clear" w:fill="auto"/>
        <w:spacing w:before="0" w:after="0" w:beforeAutospacing="0" w:afterAutospacing="0"/>
        <w:ind w:hanging="360" w:left="1060" w:right="0"/>
        <w:jc w:val="both"/>
        <w:outlineLvl w:val="9"/>
        <w:rPr>
          <w:rFonts w:ascii="Times New Roman" w:hAnsi="Times New Roman" w:cs="Times New Roman" w:eastAsia="Times New Roman"/>
          <w:b w:val="1"/>
          <w:i w:val="0"/>
          <w:color w:val="000000"/>
          <w:sz w:val="28"/>
        </w:rPr>
      </w:pPr>
      <w:r>
        <w:rPr>
          <w:rFonts w:ascii="Times New Roman" w:hAnsi="Times New Roman" w:cs="Times New Roman" w:eastAsia="Times New Roman"/>
          <w:b w:val="1"/>
          <w:i w:val="0"/>
          <w:color w:val="000000"/>
          <w:sz w:val="28"/>
          <w:szCs w:val="28"/>
        </w:rPr>
        <w:t xml:space="preserve">Информация об исполнении бюджетных ассигнований: </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0"/>
          <w:i w:val="0"/>
          <w:color w:val="000000"/>
          <w:sz w:val="28"/>
          <w:szCs w:val="28"/>
        </w:rPr>
        <w:t>2.1. Общий объем ассигнований на 2024 год – 413 423,8</w:t>
      </w:r>
      <w:r>
        <w:rPr>
          <w:rFonts w:ascii="Times New Roman" w:hAnsi="Times New Roman" w:cs="Times New Roman" w:eastAsia="Times New Roman"/>
          <w:b w:val="0"/>
          <w:i w:val="0"/>
          <w:color w:val="000000"/>
          <w:sz w:val="28"/>
          <w:szCs w:val="28"/>
          <w:shd w:val="clear" w:color="auto" w:fill="FFFFFF"/>
        </w:rPr>
        <w:t xml:space="preserve"> т</w:t>
      </w:r>
      <w:r>
        <w:rPr>
          <w:rFonts w:ascii="Times New Roman" w:hAnsi="Times New Roman" w:cs="Times New Roman" w:eastAsia="Times New Roman"/>
          <w:b w:val="0"/>
          <w:i w:val="0"/>
          <w:color w:val="000000"/>
          <w:sz w:val="28"/>
          <w:szCs w:val="28"/>
        </w:rPr>
        <w:t xml:space="preserve">ыс. рублей – бюджет Пензенской области. </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0"/>
          <w:i w:val="0"/>
          <w:color w:val="000000"/>
          <w:sz w:val="28"/>
          <w:szCs w:val="28"/>
        </w:rPr>
        <w:t xml:space="preserve">2.2. Освоено 413 363,9 тыс. рублей - бюджет Пензенской области. </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0"/>
          <w:i w:val="0"/>
          <w:color w:val="000000"/>
          <w:sz w:val="28"/>
          <w:szCs w:val="28"/>
        </w:rPr>
        <w:t>Освоение к плану на год – 99,98</w:t>
      </w:r>
      <w:r>
        <w:rPr>
          <w:rFonts w:ascii="Times New Roman" w:hAnsi="Times New Roman" w:cs="Times New Roman" w:eastAsia="Times New Roman"/>
          <w:b w:val="0"/>
          <w:i w:val="0"/>
          <w:color w:val="000000"/>
          <w:sz w:val="28"/>
          <w:szCs w:val="28"/>
          <w:shd w:val="clear" w:color="auto" w:fill="FFFFFF"/>
        </w:rPr>
        <w:t xml:space="preserve"> %</w:t>
      </w:r>
      <w:r>
        <w:rPr>
          <w:rFonts w:ascii="Times New Roman" w:hAnsi="Times New Roman" w:cs="Times New Roman" w:eastAsia="Times New Roman"/>
          <w:b w:val="0"/>
          <w:i w:val="0"/>
          <w:color w:val="000000"/>
          <w:sz w:val="28"/>
          <w:szCs w:val="28"/>
        </w:rPr>
        <w:t>.</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0"/>
          <w:i w:val="0"/>
          <w:color w:val="000000"/>
          <w:sz w:val="28"/>
          <w:szCs w:val="28"/>
        </w:rPr>
        <w:t xml:space="preserve">2.3. Средства федерального бюджета на реализацию мероприятий госпрограммы в 2024 году не выделялись. </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0"/>
          <w:i w:val="0"/>
          <w:color w:val="000000"/>
          <w:sz w:val="28"/>
          <w:szCs w:val="28"/>
        </w:rPr>
        <w:t xml:space="preserve">2.4. Средства из местных бюджетов в 2024 году на реализацию мероприятий госпрограммы не выделялись.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1"/>
          <w:i w:val="0"/>
          <w:color w:val="000000"/>
          <w:sz w:val="28"/>
          <w:szCs w:val="28"/>
        </w:rPr>
        <w:t>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1"/>
          <w:i w:val="0"/>
          <w:color w:val="000000"/>
          <w:sz w:val="28"/>
          <w:szCs w:val="28"/>
        </w:rPr>
        <w:t xml:space="preserve">2. Информация о ходе реализации </w:t>
      </w:r>
      <w:bookmarkStart w:id="0" w:name="_Hlk164156631"/>
      <w:r>
        <w:rPr>
          <w:rFonts w:ascii="Times New Roman" w:hAnsi="Times New Roman" w:cs="Times New Roman" w:eastAsia="Times New Roman"/>
          <w:b w:val="1"/>
          <w:i w:val="0"/>
          <w:color w:val="000000"/>
          <w:sz w:val="28"/>
          <w:szCs w:val="28"/>
        </w:rPr>
        <w:t>комплекса процессных мероприятий «Совершенствование функционирования Пензенской территориальной подсистемы единой государственной системы предупреждения и ликвидации чрезвычайных ситуаций».</w:t>
      </w:r>
      <w:bookmarkEnd w:id="0"/>
    </w:p>
    <w:p>
      <w:pPr>
        <w:spacing w:before="0" w:after="0" w:beforeAutospacing="0" w:afterAutospacing="0"/>
        <w:ind w:firstLine="0" w:left="0" w:right="0"/>
        <w:jc w:val="center"/>
        <w:outlineLvl w:val="9"/>
        <w:rPr>
          <w:color w:val="000000"/>
        </w:rPr>
      </w:pPr>
      <w:r>
        <w:rPr>
          <w:rFonts w:ascii="Times New Roman" w:hAnsi="Times New Roman" w:cs="Times New Roman" w:eastAsia="Times New Roman"/>
          <w:b w:val="1"/>
          <w:i w:val="1"/>
          <w:color w:val="000000"/>
          <w:sz w:val="28"/>
          <w:szCs w:val="28"/>
        </w:rPr>
        <w:t> </w:t>
      </w:r>
    </w:p>
    <w:p>
      <w:pPr>
        <w:spacing w:before="0" w:after="0" w:beforeAutospacing="0" w:afterAutospacing="0"/>
        <w:ind w:firstLine="0" w:left="0" w:right="0"/>
        <w:jc w:val="center"/>
        <w:outlineLvl w:val="9"/>
        <w:rPr>
          <w:color w:val="000000"/>
        </w:rPr>
      </w:pPr>
      <w:r>
        <w:rPr>
          <w:rFonts w:ascii="Times New Roman" w:hAnsi="Times New Roman" w:cs="Times New Roman" w:eastAsia="Times New Roman"/>
          <w:b w:val="1"/>
          <w:i w:val="1"/>
          <w:color w:val="000000"/>
          <w:sz w:val="28"/>
          <w:szCs w:val="28"/>
        </w:rPr>
        <w:t>Мероприятия «Предупреждение и ликвидация последствий чрезвычайных ситуаций и стихийных бедствий природного и техногенного характера».</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0"/>
          <w:i w:val="0"/>
          <w:color w:val="000000"/>
          <w:sz w:val="28"/>
          <w:szCs w:val="28"/>
        </w:rPr>
        <w:t>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Объем ассигнований на 2024 год – 237 653,1 тыс. рублей;</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Освоено за 12 месяцев 2024 года – 237 653,1 тыс. рублей;</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Процент освоения составляет 100 %.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В рамках данного мероприятия осуществляется выполнение государственного задания в отношении государственного бюджетного учреждения Пензенской области «Пензенский пожарно-спасательный центр» обеспечивающего деятельность данного учреждения в области гражданской обороны, защиты населения и территорий от чрезвычайных ситуаций, в обеспечении комплекса мероприятий пожарной безопасности, в том числе участие в организации и осуществлении тушения пожаров, спасения людей и имущества при пожарах и проведении аварийно-спасательных работ, в поддержание в постоянной готовности органов управления, сил и средств аварийно-спасательных формирований к выполнению задач по предупреждению и ликвидации чрезвычайных ситуаций, в организации и проведении аварийно-спасательных и других неотложных работ при возникновении чрезвычайных ситуаций, направленных на спасение жизни и сохранения здоровья людей, снижение ущерба окружающей и природной среде и материальных потерь, осуществление поиска и спасения людей на водных объектах, в обеспечении функционирования системы обеспечения вызова экстренных оперативных служб по единому номеру «112», в обучении, в профессиональной переподготовке и в повышении квалификации в области гражданской обороны, предупреждения и ликвидации чрезвычайных ситуаций и обучении персонала, обеспечивающего функционирование системы обеспечения вызова экстренных оперативных служб по единому номеру 112».</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1"/>
          <w:i w:val="1"/>
          <w:color w:val="000000"/>
          <w:sz w:val="28"/>
          <w:szCs w:val="28"/>
        </w:rPr>
        <w:t> </w:t>
      </w:r>
    </w:p>
    <w:p>
      <w:pPr>
        <w:spacing w:before="0" w:after="0" w:beforeAutospacing="0" w:afterAutospacing="0"/>
        <w:ind w:firstLine="0" w:left="0" w:right="0"/>
        <w:jc w:val="center"/>
        <w:outlineLvl w:val="9"/>
        <w:rPr>
          <w:color w:val="000000"/>
        </w:rPr>
      </w:pPr>
      <w:r>
        <w:rPr>
          <w:rFonts w:ascii="Times New Roman" w:hAnsi="Times New Roman" w:cs="Times New Roman" w:eastAsia="Times New Roman"/>
          <w:b w:val="1"/>
          <w:i w:val="1"/>
          <w:color w:val="000000"/>
          <w:sz w:val="28"/>
          <w:szCs w:val="28"/>
        </w:rPr>
        <w:t>Мероприятия «Ежемесячная денежная выплата спасателям» предоставляются дополнительные гарантии спасателям Пензенской области.</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0"/>
          <w:i w:val="0"/>
          <w:color w:val="000000"/>
          <w:sz w:val="28"/>
          <w:szCs w:val="28"/>
        </w:rPr>
        <w:t>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Объем ассигнований на 2024 год – 2 886,3 тыс. рублей;</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Освоено за 12 месяцев 2024 года – 2 886,3 тыс. рублей;</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Процент освоения составляет 100 %.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Производится ежемесячная денежная выплата спасателям, достигшим возраста 40 лет, принимающим непосредственное участие в проведении аварийно-спасательных работ и проработавшим не менее 15 лет в профессиональных аварийно-спасательных службах Пензенской области. За 12 месяцев осуществлены выплаты 25 спасателям.</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w:t>
      </w:r>
    </w:p>
    <w:p>
      <w:pPr>
        <w:spacing w:before="0" w:after="0" w:beforeAutospacing="0" w:afterAutospacing="0"/>
        <w:ind w:firstLine="0" w:left="0" w:right="0"/>
        <w:jc w:val="center"/>
        <w:outlineLvl w:val="9"/>
        <w:rPr>
          <w:color w:val="000000"/>
        </w:rPr>
      </w:pPr>
      <w:r>
        <w:rPr>
          <w:rFonts w:ascii="Times New Roman" w:hAnsi="Times New Roman" w:cs="Times New Roman" w:eastAsia="Times New Roman"/>
          <w:b w:val="1"/>
          <w:i w:val="1"/>
          <w:color w:val="000000"/>
          <w:sz w:val="28"/>
          <w:szCs w:val="28"/>
        </w:rPr>
        <w:t>Мероприятие «Участие ГБУ «ППСЦ» в реализации специального инфраструктурного проекта и иных проектов».</w:t>
      </w:r>
    </w:p>
    <w:p>
      <w:pPr>
        <w:spacing w:before="0" w:after="0" w:beforeAutospacing="0" w:afterAutospacing="0"/>
        <w:ind w:firstLine="0" w:left="0" w:right="0"/>
        <w:jc w:val="center"/>
        <w:outlineLvl w:val="9"/>
        <w:rPr>
          <w:color w:val="000000"/>
        </w:rPr>
      </w:pPr>
      <w:r>
        <w:rPr>
          <w:rFonts w:ascii="Times New Roman" w:hAnsi="Times New Roman" w:cs="Times New Roman" w:eastAsia="Times New Roman"/>
          <w:b w:val="1"/>
          <w:i w:val="1"/>
          <w:color w:val="000000"/>
          <w:sz w:val="28"/>
          <w:szCs w:val="28"/>
        </w:rPr>
        <w:t> </w:t>
      </w:r>
    </w:p>
    <w:p>
      <w:pPr>
        <w:spacing w:before="0" w:after="0" w:beforeAutospacing="0" w:afterAutospacing="0"/>
        <w:ind w:firstLine="0" w:left="720" w:right="0"/>
        <w:jc w:val="both"/>
        <w:outlineLvl w:val="9"/>
        <w:rPr>
          <w:color w:val="000000"/>
        </w:rPr>
      </w:pPr>
      <w:r>
        <w:rPr>
          <w:rFonts w:ascii="Times New Roman" w:hAnsi="Times New Roman" w:cs="Times New Roman" w:eastAsia="Times New Roman"/>
          <w:b w:val="0"/>
          <w:i w:val="0"/>
          <w:color w:val="000000"/>
          <w:sz w:val="28"/>
          <w:szCs w:val="28"/>
        </w:rPr>
        <w:t>Объем ассигнований на 2024 год – 60 447,9 тыс. рублей;</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Освоено за 12 месяцев 2024 года – 60 447,9 тыс. рублей;</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Процент освоения составляет – 100 %.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В рамках данного мероприятия осуществляется обеспечение ГБУ «ППСЦ» командировочными расходами, заработной платой, начислениями на заработанную плату, материально-техническое обеспечение используемого имущества (автомобили, оборудование и иного имущества).</w:t>
      </w:r>
    </w:p>
    <w:p>
      <w:pPr>
        <w:spacing w:before="0" w:after="0" w:beforeAutospacing="0" w:afterAutospacing="0"/>
        <w:ind w:firstLine="0" w:left="0" w:right="0"/>
        <w:jc w:val="center"/>
        <w:outlineLvl w:val="9"/>
        <w:rPr>
          <w:color w:val="000000"/>
        </w:rPr>
      </w:pPr>
      <w:r>
        <w:rPr>
          <w:rFonts w:ascii="Times New Roman" w:hAnsi="Times New Roman" w:cs="Times New Roman" w:eastAsia="Times New Roman"/>
          <w:b w:val="1"/>
          <w:i w:val="1"/>
          <w:color w:val="000000"/>
          <w:sz w:val="28"/>
          <w:szCs w:val="28"/>
        </w:rPr>
        <w:t> Мероприятие «Приобретение спецтехники и оборудования для эффективного выполнения задач в области гражданской обороны, защиты населения и территорий от чрезвычайных ситуаций, обеспечения пожарной безопасности, обучения населения по гражданской обороне, приема и обработки вызовов по номеру «112».</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0"/>
          <w:i w:val="0"/>
          <w:color w:val="000000"/>
          <w:sz w:val="28"/>
          <w:szCs w:val="28"/>
        </w:rPr>
        <w:t xml:space="preserve">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Объем ассигнований на 2024 год –3 229,5 тыс. рублей;</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Освоено за 12 месяцев 2024 года – 3 229,5 тыс. рублей;</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Процент освоения составляет – 100 %.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В рамках данного мероприятия осуществляется приобретение ГБУ «ППСЦ»  специальной техники и оборудования для обеспечения выполнения задач в области гражданской обороны, защиты населения и территорий от чрезвычайных ситуаций, обучения населения по гражданской обороне, приема и обработки вызовов по номеру «112».</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ГБУ «ППСЦ» по заключенным контрактам осуществили закупку ранцевых огнетушителей в количестве 263 шт., контракт 0855200000524001709 от 03.06.24; По договору № 6 от 07.10.24 закуплен блок оконечный запуска сирены; По договору № 5 от 03.10.2024 закуплены средства связи для оборудования РАСЦО; По контракту б/н от 21.11.24 закуплены ранцы лесные противопожарные "Кедр" 100 шт.</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1"/>
          <w:i w:val="1"/>
          <w:color w:val="000000"/>
          <w:sz w:val="28"/>
          <w:szCs w:val="28"/>
        </w:rPr>
        <w:t> </w:t>
      </w:r>
    </w:p>
    <w:p>
      <w:pPr>
        <w:spacing w:before="0" w:after="0" w:beforeAutospacing="0" w:afterAutospacing="0"/>
        <w:ind w:firstLine="0" w:left="0" w:right="0"/>
        <w:jc w:val="center"/>
        <w:outlineLvl w:val="9"/>
        <w:rPr>
          <w:color w:val="000000"/>
        </w:rPr>
      </w:pPr>
      <w:r>
        <w:rPr>
          <w:rFonts w:ascii="Times New Roman" w:hAnsi="Times New Roman" w:cs="Times New Roman" w:eastAsia="Times New Roman"/>
          <w:b w:val="1"/>
          <w:i w:val="1"/>
          <w:color w:val="000000"/>
          <w:sz w:val="28"/>
          <w:szCs w:val="28"/>
        </w:rPr>
        <w:t>Мероприятия «Выполнены мероприятия по мобилизационной готовности экономики».</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0"/>
          <w:i w:val="0"/>
          <w:color w:val="000000"/>
          <w:sz w:val="28"/>
          <w:szCs w:val="28"/>
        </w:rPr>
        <w:t>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Объем ассигнований на 2024 год – 353,7 тыс. рублей;</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Освоено за 12 месяцев 2024 года - 353,7 тыс. рублей;</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Процент освоения составляет - 100 %.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В рамках данного мероприятия осуществляется приобретение средств индивидуальной защиты, закладываемых в резерв Правительства Пензенской области, проводятся лабораторных испытания средств индивидуальной защиты. ГБУ «ППСЦ» по заключенному контракту 0855200000524001851 от 10.06.2024 осуществили закупку противогазов в количестве 48 шт., по контракту 16042024 от 16.04.24 закуплено компьютерное оборудование для организации работы в области гражданской обороны.</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1"/>
          <w:i w:val="1"/>
          <w:color w:val="000000"/>
          <w:sz w:val="28"/>
          <w:szCs w:val="28"/>
        </w:rPr>
        <w:t> </w:t>
      </w:r>
    </w:p>
    <w:p>
      <w:pPr>
        <w:spacing w:before="0" w:after="0" w:beforeAutospacing="0" w:afterAutospacing="0"/>
        <w:ind w:firstLine="0" w:left="0" w:right="0"/>
        <w:jc w:val="center"/>
        <w:outlineLvl w:val="9"/>
        <w:rPr>
          <w:color w:val="000000"/>
        </w:rPr>
      </w:pPr>
      <w:r>
        <w:rPr>
          <w:rFonts w:ascii="Times New Roman" w:hAnsi="Times New Roman" w:cs="Times New Roman" w:eastAsia="Times New Roman"/>
          <w:b w:val="1"/>
          <w:i w:val="1"/>
          <w:color w:val="000000"/>
          <w:sz w:val="28"/>
          <w:szCs w:val="28"/>
        </w:rPr>
        <w:t>Мероприятие «Организация эксплуатации системы вызова экстренных оперативных служб по единому номеру «112», обеспечение приема и обработки вызовов».</w:t>
      </w:r>
    </w:p>
    <w:p>
      <w:pPr>
        <w:spacing w:before="0" w:after="0" w:beforeAutospacing="0" w:afterAutospacing="0"/>
        <w:ind w:firstLine="0" w:left="0" w:right="0"/>
        <w:jc w:val="both"/>
        <w:outlineLvl w:val="9"/>
        <w:rPr>
          <w:color w:val="000000"/>
        </w:rPr>
      </w:pPr>
      <w:bookmarkStart w:id="1" w:name="_Hlk164158783"/>
      <w:r>
        <w:rPr>
          <w:rFonts w:ascii="Times New Roman" w:hAnsi="Times New Roman" w:cs="Times New Roman" w:eastAsia="Times New Roman"/>
          <w:b w:val="0"/>
          <w:i w:val="0"/>
          <w:color w:val="000000"/>
          <w:sz w:val="28"/>
          <w:szCs w:val="28"/>
        </w:rPr>
        <w:t> </w:t>
      </w:r>
      <w:bookmarkEnd w:id="1"/>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Объем ассигнований на 2024 год – 15 884,4 тыс. рублей;</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Освоено за 12 месяцев 2024 года – 15 884,4 тыс. рублей;</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Процент освоения составляет - 100 %.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Оплата производится ежемесячно на основании выставленных актов за отчетный период.</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Реализация данного мероприятия обеспечивается двумя договорами заключенными с ПАО «Ростелеком».</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0"/>
          <w:i w:val="0"/>
          <w:color w:val="000000"/>
          <w:sz w:val="28"/>
          <w:szCs w:val="28"/>
        </w:rPr>
        <w:t>1. На эксплуатационное техническое обслуживание с ПАО «РОСТЕЛЕКОМ» с ежемесячной оплатой.</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0"/>
          <w:i w:val="0"/>
          <w:color w:val="000000"/>
          <w:sz w:val="28"/>
          <w:szCs w:val="28"/>
        </w:rPr>
        <w:t xml:space="preserve">2. Договор на каналы связи системы «112» с ПАО «Ростелеком» с ежемесячной оплатой. </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1"/>
          <w:i w:val="1"/>
          <w:color w:val="000000"/>
          <w:sz w:val="28"/>
          <w:szCs w:val="28"/>
        </w:rPr>
        <w:t> </w:t>
      </w:r>
    </w:p>
    <w:p>
      <w:pPr>
        <w:spacing w:before="0" w:after="0" w:beforeAutospacing="0" w:afterAutospacing="0"/>
        <w:ind w:firstLine="0" w:left="0" w:right="0"/>
        <w:jc w:val="center"/>
        <w:outlineLvl w:val="9"/>
        <w:rPr>
          <w:color w:val="000000"/>
        </w:rPr>
      </w:pPr>
      <w:r>
        <w:rPr>
          <w:rFonts w:ascii="Times New Roman" w:hAnsi="Times New Roman" w:cs="Times New Roman" w:eastAsia="Times New Roman"/>
          <w:b w:val="1"/>
          <w:i w:val="1"/>
          <w:color w:val="000000"/>
          <w:sz w:val="28"/>
          <w:szCs w:val="28"/>
        </w:rPr>
        <w:t>Мероприятие «Повышение уровня противопожарной защиты государственных организаций (учреждений) Пензенской области».</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0"/>
          <w:i w:val="0"/>
          <w:color w:val="000000"/>
          <w:sz w:val="28"/>
          <w:szCs w:val="28"/>
        </w:rPr>
        <w:t>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Объем ассигнований на 2024 год – 75 965,0 тыс. рублей;</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Освоено за 12 месяцев 2024 года – 75 905,0 тыс. рублей;</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Процент освоения составляет – 99,92 %.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За 12 месяцев 2024 года 50 учреждений подведомственных министерствам Пензенской области выполнили мероприятия по повышению пожарной безопасности:</w:t>
      </w:r>
    </w:p>
    <w:p>
      <w:pPr>
        <w:numPr>
          <w:ilvl w:val="0"/>
          <w:numId w:val="2"/>
        </w:numPr>
        <w:shd w:val="clear" w:fill="auto"/>
        <w:spacing w:before="0" w:after="0" w:beforeAutospacing="0" w:afterAutospacing="0"/>
        <w:ind w:hanging="360" w:left="720" w:right="0"/>
        <w:jc w:val="both"/>
        <w:outlineLvl w:val="9"/>
        <w:rPr>
          <w:rFonts w:ascii="Times New Roman" w:hAnsi="Times New Roman" w:cs="Times New Roman" w:eastAsia="Times New Roman"/>
          <w:b w:val="0"/>
          <w:i w:val="0"/>
          <w:color w:val="000000"/>
          <w:sz w:val="28"/>
        </w:rPr>
      </w:pPr>
      <w:r>
        <w:rPr>
          <w:rFonts w:ascii="Times New Roman" w:hAnsi="Times New Roman" w:cs="Times New Roman" w:eastAsia="Times New Roman"/>
          <w:b w:val="0"/>
          <w:i w:val="0"/>
          <w:color w:val="000000"/>
          <w:sz w:val="28"/>
          <w:szCs w:val="28"/>
        </w:rPr>
        <w:t>Министерству труда, социальной защиты и демографии Пензенской области выделено – 3 969,1 тыс. рублей, освоено – 3 969,1 тыс. рублей (100 %).  (6 учреждений);</w:t>
      </w:r>
    </w:p>
    <w:p>
      <w:pPr>
        <w:numPr>
          <w:ilvl w:val="0"/>
          <w:numId w:val="2"/>
        </w:numPr>
        <w:shd w:val="clear" w:fill="auto"/>
        <w:spacing w:before="0" w:after="0" w:beforeAutospacing="0" w:afterAutospacing="0"/>
        <w:ind w:hanging="360" w:left="720" w:right="0"/>
        <w:jc w:val="both"/>
        <w:outlineLvl w:val="9"/>
        <w:rPr>
          <w:rFonts w:ascii="Times New Roman" w:hAnsi="Times New Roman" w:cs="Times New Roman" w:eastAsia="Times New Roman"/>
          <w:b w:val="0"/>
          <w:i w:val="0"/>
          <w:color w:val="000000"/>
          <w:sz w:val="28"/>
        </w:rPr>
      </w:pPr>
      <w:r>
        <w:rPr>
          <w:rFonts w:ascii="Times New Roman" w:hAnsi="Times New Roman" w:cs="Times New Roman" w:eastAsia="Times New Roman"/>
          <w:b w:val="0"/>
          <w:i w:val="0"/>
          <w:color w:val="000000"/>
          <w:sz w:val="28"/>
          <w:szCs w:val="28"/>
        </w:rPr>
        <w:t>Министерству здравоохранения Пензенской области выделено – 9 440,0 тыс. рублей, освоено – 9 380,1 тыс. рублей (99,4 %). Остаток 59,9 тыс. рублей возвращен в бюджет. (13 учреждений);</w:t>
      </w:r>
    </w:p>
    <w:p>
      <w:pPr>
        <w:numPr>
          <w:ilvl w:val="0"/>
          <w:numId w:val="2"/>
        </w:numPr>
        <w:shd w:val="clear" w:fill="auto"/>
        <w:spacing w:before="0" w:after="0" w:beforeAutospacing="0" w:afterAutospacing="0"/>
        <w:ind w:hanging="360" w:left="720" w:right="0"/>
        <w:jc w:val="both"/>
        <w:outlineLvl w:val="9"/>
        <w:rPr>
          <w:rFonts w:ascii="Times New Roman" w:hAnsi="Times New Roman" w:cs="Times New Roman" w:eastAsia="Times New Roman"/>
          <w:b w:val="0"/>
          <w:i w:val="0"/>
          <w:color w:val="000000"/>
          <w:sz w:val="28"/>
        </w:rPr>
      </w:pPr>
      <w:r>
        <w:rPr>
          <w:rFonts w:ascii="Times New Roman" w:hAnsi="Times New Roman" w:cs="Times New Roman" w:eastAsia="Times New Roman"/>
          <w:b w:val="0"/>
          <w:i w:val="0"/>
          <w:color w:val="000000"/>
          <w:sz w:val="28"/>
          <w:szCs w:val="28"/>
        </w:rPr>
        <w:t>Министерству культуры и туризма Пензенской области выделено –</w:t>
        <w:br w:type="textWrapping"/>
        <w:t>1 825,2 тыс. рублей, освоено – 1 825,2 тыс. рублей (100 %). (11 учреждений);</w:t>
      </w:r>
    </w:p>
    <w:p>
      <w:pPr>
        <w:numPr>
          <w:ilvl w:val="0"/>
          <w:numId w:val="2"/>
        </w:numPr>
        <w:shd w:val="clear" w:fill="auto"/>
        <w:spacing w:before="0" w:after="0" w:beforeAutospacing="0" w:afterAutospacing="0"/>
        <w:ind w:hanging="360" w:left="720" w:right="0"/>
        <w:jc w:val="both"/>
        <w:outlineLvl w:val="9"/>
        <w:rPr>
          <w:rFonts w:ascii="Times New Roman" w:hAnsi="Times New Roman" w:cs="Times New Roman" w:eastAsia="Times New Roman"/>
          <w:b w:val="0"/>
          <w:i w:val="0"/>
          <w:color w:val="000000"/>
          <w:sz w:val="28"/>
        </w:rPr>
      </w:pPr>
      <w:r>
        <w:rPr>
          <w:rFonts w:ascii="Times New Roman" w:hAnsi="Times New Roman" w:cs="Times New Roman" w:eastAsia="Times New Roman"/>
          <w:b w:val="0"/>
          <w:i w:val="0"/>
          <w:color w:val="000000"/>
          <w:sz w:val="28"/>
          <w:szCs w:val="28"/>
        </w:rPr>
        <w:t>Министерству образования Пензенской области выделено – 58 984,9 тыс. рублей, освоено – 58 984,9 тыс. рублей (100 %). (17 учреждений);</w:t>
      </w:r>
    </w:p>
    <w:p>
      <w:pPr>
        <w:numPr>
          <w:ilvl w:val="0"/>
          <w:numId w:val="2"/>
        </w:numPr>
        <w:shd w:val="clear" w:fill="auto"/>
        <w:spacing w:before="0" w:after="0" w:beforeAutospacing="0" w:afterAutospacing="0"/>
        <w:ind w:hanging="360" w:left="720" w:right="0"/>
        <w:jc w:val="both"/>
        <w:outlineLvl w:val="9"/>
        <w:rPr>
          <w:rFonts w:ascii="Times New Roman" w:hAnsi="Times New Roman" w:cs="Times New Roman" w:eastAsia="Times New Roman"/>
          <w:b w:val="0"/>
          <w:i w:val="0"/>
          <w:color w:val="000000"/>
          <w:sz w:val="28"/>
        </w:rPr>
      </w:pPr>
      <w:r>
        <w:rPr>
          <w:rFonts w:ascii="Times New Roman" w:hAnsi="Times New Roman" w:cs="Times New Roman" w:eastAsia="Times New Roman"/>
          <w:b w:val="0"/>
          <w:i w:val="0"/>
          <w:color w:val="000000"/>
          <w:sz w:val="28"/>
          <w:szCs w:val="28"/>
        </w:rPr>
        <w:t xml:space="preserve">Министерству физической культуры и спорта Пензенской области выделено 1 745,8 тыс. рублей, освоено – 1 745,8 тыс. рублей (100 %). (3 учреждения). </w:t>
      </w:r>
    </w:p>
    <w:p>
      <w:pPr>
        <w:spacing w:before="0" w:after="0" w:beforeAutospacing="0" w:afterAutospacing="0"/>
        <w:ind w:firstLine="360" w:left="0" w:right="0"/>
        <w:jc w:val="both"/>
        <w:outlineLvl w:val="9"/>
        <w:rPr>
          <w:color w:val="000000"/>
        </w:rPr>
      </w:pPr>
      <w:r>
        <w:rPr>
          <w:rFonts w:ascii="Times New Roman" w:hAnsi="Times New Roman" w:cs="Times New Roman" w:eastAsia="Times New Roman"/>
          <w:b w:val="0"/>
          <w:i w:val="0"/>
          <w:color w:val="000000"/>
          <w:sz w:val="28"/>
          <w:szCs w:val="28"/>
        </w:rPr>
        <w:t>В рамках данного мероприятия проводится:</w:t>
      </w:r>
    </w:p>
    <w:p>
      <w:pPr>
        <w:numPr>
          <w:ilvl w:val="0"/>
          <w:numId w:val="3"/>
        </w:numPr>
        <w:shd w:val="clear" w:fill="auto"/>
        <w:spacing w:before="0" w:after="0" w:beforeAutospacing="0" w:afterAutospacing="0"/>
        <w:ind w:hanging="360" w:left="720" w:right="0"/>
        <w:jc w:val="both"/>
        <w:outlineLvl w:val="9"/>
        <w:rPr>
          <w:rFonts w:ascii="Arial" w:hAnsi="Arial" w:cs="Arial" w:eastAsia="Arial"/>
          <w:b w:val="0"/>
          <w:i w:val="0"/>
          <w:color w:val="000000"/>
          <w:sz w:val="28"/>
        </w:rPr>
      </w:pPr>
      <w:r>
        <w:rPr>
          <w:rFonts w:ascii="Times New Roman" w:hAnsi="Times New Roman" w:cs="Times New Roman" w:eastAsia="Times New Roman"/>
          <w:b w:val="0"/>
          <w:i w:val="0"/>
          <w:color w:val="000000"/>
          <w:sz w:val="28"/>
          <w:szCs w:val="28"/>
        </w:rPr>
        <w:t>Ремонт, монтаж, приобретение автоматической пожарной сигнализации, систем оповещения людей о пожаре (в том числе и беспроводных систем в комплекте с индивидуальными техническими устройствами оповещения), установок автоматического пожаротушения, вывода сигнала о срабатывании установок пожарной сигнализации и аварийного оповещения, линий прямой телефонной связи с подразделениями пожарной службы в учреждениях (в том числе разработка проектной документации, техническое обслуживание существующих систем);</w:t>
      </w:r>
    </w:p>
    <w:p>
      <w:pPr>
        <w:numPr>
          <w:ilvl w:val="0"/>
          <w:numId w:val="3"/>
        </w:numPr>
        <w:shd w:val="clear" w:fill="auto"/>
        <w:spacing w:before="0" w:after="0" w:beforeAutospacing="0" w:afterAutospacing="0"/>
        <w:ind w:hanging="360" w:left="720" w:right="0"/>
        <w:jc w:val="both"/>
        <w:outlineLvl w:val="9"/>
        <w:rPr>
          <w:rFonts w:ascii="Arial" w:hAnsi="Arial" w:cs="Arial" w:eastAsia="Arial"/>
          <w:b w:val="0"/>
          <w:i w:val="0"/>
          <w:color w:val="000000"/>
          <w:sz w:val="28"/>
        </w:rPr>
      </w:pPr>
      <w:r>
        <w:rPr>
          <w:rFonts w:ascii="Times New Roman" w:hAnsi="Times New Roman" w:cs="Times New Roman" w:eastAsia="Times New Roman"/>
          <w:b w:val="0"/>
          <w:i w:val="0"/>
          <w:color w:val="000000"/>
          <w:sz w:val="28"/>
          <w:szCs w:val="28"/>
        </w:rPr>
        <w:t>Ремонт, монтаж внутренних и наружных электрических сетей, электроустановок, электротехнических изделий и электроосветительных приборов в учреждениях (в том числе разработка проектной документации);</w:t>
      </w:r>
    </w:p>
    <w:p>
      <w:pPr>
        <w:numPr>
          <w:ilvl w:val="0"/>
          <w:numId w:val="3"/>
        </w:numPr>
        <w:shd w:val="clear" w:fill="auto"/>
        <w:spacing w:before="0" w:after="0" w:beforeAutospacing="0" w:afterAutospacing="0"/>
        <w:ind w:hanging="360" w:left="720" w:right="0"/>
        <w:jc w:val="both"/>
        <w:outlineLvl w:val="9"/>
        <w:rPr>
          <w:rFonts w:ascii="Arial" w:hAnsi="Arial" w:cs="Arial" w:eastAsia="Arial"/>
          <w:b w:val="0"/>
          <w:i w:val="0"/>
          <w:color w:val="000000"/>
          <w:sz w:val="28"/>
        </w:rPr>
      </w:pPr>
      <w:r>
        <w:rPr>
          <w:rFonts w:ascii="Times New Roman" w:hAnsi="Times New Roman" w:cs="Times New Roman" w:eastAsia="Times New Roman"/>
          <w:b w:val="0"/>
          <w:i w:val="0"/>
          <w:color w:val="000000"/>
          <w:sz w:val="28"/>
          <w:szCs w:val="28"/>
        </w:rPr>
        <w:t>Приобретение, монтаж, ввод в эксплуатацию автономных источников электроснабжения (в том числе разработка проектной документации);</w:t>
      </w:r>
    </w:p>
    <w:p>
      <w:pPr>
        <w:numPr>
          <w:ilvl w:val="0"/>
          <w:numId w:val="3"/>
        </w:numPr>
        <w:shd w:val="clear" w:fill="auto"/>
        <w:spacing w:before="0" w:after="0" w:beforeAutospacing="0" w:afterAutospacing="0"/>
        <w:ind w:hanging="360" w:left="720" w:right="0"/>
        <w:jc w:val="both"/>
        <w:outlineLvl w:val="9"/>
        <w:rPr>
          <w:rFonts w:ascii="Arial" w:hAnsi="Arial" w:cs="Arial" w:eastAsia="Arial"/>
          <w:b w:val="0"/>
          <w:i w:val="0"/>
          <w:color w:val="000000"/>
          <w:sz w:val="28"/>
        </w:rPr>
      </w:pPr>
      <w:r>
        <w:rPr>
          <w:rFonts w:ascii="Times New Roman" w:hAnsi="Times New Roman" w:cs="Times New Roman" w:eastAsia="Times New Roman"/>
          <w:b w:val="0"/>
          <w:i w:val="0"/>
          <w:color w:val="000000"/>
          <w:sz w:val="28"/>
          <w:szCs w:val="28"/>
        </w:rPr>
        <w:t>Приобретение средств спасения и эвакуации для сотрудников и обслуживаемого контингента учреждений;</w:t>
      </w:r>
    </w:p>
    <w:p>
      <w:pPr>
        <w:numPr>
          <w:ilvl w:val="0"/>
          <w:numId w:val="3"/>
        </w:numPr>
        <w:shd w:val="clear" w:fill="auto"/>
        <w:spacing w:before="0" w:after="0" w:beforeAutospacing="0" w:afterAutospacing="0"/>
        <w:ind w:hanging="360" w:left="720" w:right="0"/>
        <w:jc w:val="both"/>
        <w:outlineLvl w:val="9"/>
        <w:rPr>
          <w:rFonts w:ascii="Arial" w:hAnsi="Arial" w:cs="Arial" w:eastAsia="Arial"/>
          <w:b w:val="0"/>
          <w:i w:val="0"/>
          <w:color w:val="000000"/>
          <w:sz w:val="28"/>
        </w:rPr>
      </w:pPr>
      <w:r>
        <w:rPr>
          <w:rFonts w:ascii="Times New Roman" w:hAnsi="Times New Roman" w:cs="Times New Roman" w:eastAsia="Times New Roman"/>
          <w:b w:val="0"/>
          <w:i w:val="0"/>
          <w:color w:val="000000"/>
          <w:sz w:val="28"/>
          <w:szCs w:val="28"/>
        </w:rPr>
        <w:t>Ремонт, реконструкция, приведение в соответствие с действующими требованиями норм и правил (НП) пожарной безопасности внутренних, наружных путей эвакуации, установка дверей, отсекающих лестничные марши от поэтажных коридоров (в том числе разработка проектной документации);</w:t>
      </w:r>
    </w:p>
    <w:p>
      <w:pPr>
        <w:numPr>
          <w:ilvl w:val="0"/>
          <w:numId w:val="3"/>
        </w:numPr>
        <w:shd w:val="clear" w:fill="auto"/>
        <w:spacing w:before="0" w:after="0" w:beforeAutospacing="0" w:afterAutospacing="0"/>
        <w:ind w:hanging="360" w:left="720" w:right="0"/>
        <w:jc w:val="both"/>
        <w:outlineLvl w:val="9"/>
        <w:rPr>
          <w:rFonts w:ascii="Arial" w:hAnsi="Arial" w:cs="Arial" w:eastAsia="Arial"/>
          <w:b w:val="0"/>
          <w:i w:val="0"/>
          <w:color w:val="000000"/>
          <w:sz w:val="28"/>
        </w:rPr>
      </w:pPr>
      <w:r>
        <w:rPr>
          <w:rFonts w:ascii="Times New Roman" w:hAnsi="Times New Roman" w:cs="Times New Roman" w:eastAsia="Times New Roman"/>
          <w:b w:val="0"/>
          <w:i w:val="0"/>
          <w:color w:val="000000"/>
          <w:sz w:val="28"/>
          <w:szCs w:val="28"/>
        </w:rPr>
        <w:t>Ремонт, реконструкция, приведение в соответствие с действующими требованиями НП пожарной безопасности систем внутреннего, наружного противопожарного водоснабжения, пожарных водоемов (водоисточников) (в том числе разработка проектной документации).</w:t>
      </w:r>
    </w:p>
    <w:p>
      <w:pPr>
        <w:spacing w:before="0" w:after="0" w:beforeAutospacing="0" w:afterAutospacing="0"/>
        <w:ind w:firstLine="0" w:left="0" w:right="0"/>
        <w:jc w:val="both"/>
        <w:outlineLvl w:val="9"/>
        <w:rPr>
          <w:color w:val="000000"/>
        </w:rPr>
      </w:pPr>
      <w:bookmarkStart w:id="2" w:name="_Hlk164156256"/>
      <w:r>
        <w:rPr>
          <w:rFonts w:ascii="Times New Roman" w:hAnsi="Times New Roman" w:cs="Times New Roman" w:eastAsia="Times New Roman"/>
          <w:b w:val="1"/>
          <w:i w:val="1"/>
          <w:color w:val="000000"/>
          <w:sz w:val="28"/>
          <w:szCs w:val="28"/>
        </w:rPr>
        <w:t> </w:t>
      </w:r>
      <w:bookmarkEnd w:id="2"/>
    </w:p>
    <w:p>
      <w:pPr>
        <w:spacing w:before="0" w:after="0" w:beforeAutospacing="0" w:afterAutospacing="0"/>
        <w:ind w:firstLine="0" w:left="0" w:right="0"/>
        <w:jc w:val="center"/>
        <w:outlineLvl w:val="9"/>
        <w:rPr>
          <w:color w:val="000000"/>
        </w:rPr>
      </w:pPr>
      <w:r>
        <w:rPr>
          <w:rFonts w:ascii="Times New Roman" w:hAnsi="Times New Roman" w:cs="Times New Roman" w:eastAsia="Times New Roman"/>
          <w:b w:val="1"/>
          <w:i w:val="1"/>
          <w:color w:val="000000"/>
          <w:sz w:val="28"/>
          <w:szCs w:val="28"/>
        </w:rPr>
        <w:t>Мероприятия «Подготовка к пропуску весеннего половодья и летне-осенних паводков».</w:t>
      </w:r>
    </w:p>
    <w:p>
      <w:pPr>
        <w:spacing w:before="0" w:after="0" w:beforeAutospacing="0" w:afterAutospacing="0"/>
        <w:ind w:firstLine="720" w:left="0" w:right="0"/>
        <w:jc w:val="both"/>
        <w:outlineLvl w:val="9"/>
        <w:rPr>
          <w:color w:val="000000"/>
        </w:rPr>
      </w:pPr>
      <w:bookmarkStart w:id="3" w:name="_Hlk164159131"/>
      <w:r>
        <w:rPr>
          <w:rFonts w:ascii="Times New Roman" w:hAnsi="Times New Roman" w:cs="Times New Roman" w:eastAsia="Times New Roman"/>
          <w:b w:val="0"/>
          <w:i w:val="0"/>
          <w:color w:val="000000"/>
          <w:sz w:val="28"/>
          <w:szCs w:val="28"/>
        </w:rPr>
        <w:t> </w:t>
      </w:r>
      <w:bookmarkEnd w:id="3"/>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Объем ассигнований на 2024 год – 500,0 тыс. рублей;</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Освоено за 12 месяцев 2024 года – 500,0 тыс. рублей;</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Процент освоения составляет - 100 %.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В рамках реализации данного мероприятия </w:t>
      </w:r>
      <w:bookmarkStart w:id="4" w:name="_Hlk132204815"/>
      <w:r>
        <w:rPr>
          <w:rFonts w:ascii="Times New Roman" w:hAnsi="Times New Roman" w:cs="Times New Roman" w:eastAsia="Times New Roman"/>
          <w:b w:val="0"/>
          <w:i w:val="0"/>
          <w:color w:val="000000"/>
          <w:sz w:val="28"/>
          <w:szCs w:val="28"/>
        </w:rPr>
        <w:t>ГБУ Пензенской области «Пензенский пожарно-спасательный центр» приобретены покрышки ресивера СВП Славир в количестве 2 шт, Прицеп МЗСА 81771G в количестве 1 шт, Винт гребной в количестве 5 шт, Жилеты спасательные «ПР» оранжевый в количестве 36 шт.</w:t>
      </w:r>
      <w:bookmarkEnd w:id="4"/>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w:t>
      </w:r>
    </w:p>
    <w:p>
      <w:pPr>
        <w:spacing w:before="0" w:after="0" w:beforeAutospacing="0" w:afterAutospacing="0"/>
        <w:ind w:firstLine="0" w:left="0" w:right="0"/>
        <w:jc w:val="center"/>
        <w:outlineLvl w:val="9"/>
        <w:rPr>
          <w:color w:val="000000"/>
        </w:rPr>
      </w:pPr>
      <w:r>
        <w:rPr>
          <w:rFonts w:ascii="Times New Roman" w:hAnsi="Times New Roman" w:cs="Times New Roman" w:eastAsia="Times New Roman"/>
          <w:b w:val="1"/>
          <w:i w:val="1"/>
          <w:color w:val="000000"/>
          <w:sz w:val="28"/>
          <w:szCs w:val="28"/>
        </w:rPr>
        <w:t>Мероприятия «Создание, восполнение резервов материальных ресурсов Пензенской области для ликвидации чрезвычайных ситуаций межмуниципального и регионального характера».</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0"/>
          <w:i w:val="0"/>
          <w:color w:val="000000"/>
          <w:sz w:val="28"/>
          <w:szCs w:val="28"/>
        </w:rPr>
        <w:t>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Объем ассигнований на 2024 год – 0,2 тыс. рублей;</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Освоено за 12 месяцев 2024 года – 0,2 тыс. рублей;</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Процент освоения составляет - 100 %.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В рамках данного мероприятия приобретено хозяйственного мыла в количестве 1,2 кг.</w:t>
      </w:r>
    </w:p>
    <w:p>
      <w:pPr>
        <w:spacing w:before="0" w:after="0" w:beforeAutospacing="0" w:afterAutospacing="0"/>
        <w:ind w:firstLine="0" w:left="0" w:right="0"/>
        <w:jc w:val="center"/>
        <w:outlineLvl w:val="9"/>
        <w:rPr>
          <w:color w:val="000000"/>
        </w:rPr>
      </w:pPr>
      <w:r>
        <w:rPr>
          <w:rFonts w:ascii="Times New Roman" w:hAnsi="Times New Roman" w:cs="Times New Roman" w:eastAsia="Times New Roman"/>
          <w:b w:val="1"/>
          <w:i w:val="1"/>
          <w:color w:val="000000"/>
          <w:sz w:val="28"/>
          <w:szCs w:val="28"/>
        </w:rPr>
        <w:t> </w:t>
      </w:r>
    </w:p>
    <w:p>
      <w:pPr>
        <w:spacing w:before="0" w:after="0" w:beforeAutospacing="0" w:afterAutospacing="0"/>
        <w:ind w:firstLine="0" w:left="0" w:right="0"/>
        <w:jc w:val="center"/>
        <w:outlineLvl w:val="9"/>
        <w:rPr>
          <w:color w:val="000000"/>
        </w:rPr>
      </w:pPr>
      <w:r>
        <w:rPr>
          <w:rFonts w:ascii="Times New Roman" w:hAnsi="Times New Roman" w:cs="Times New Roman" w:eastAsia="Times New Roman"/>
          <w:b w:val="1"/>
          <w:i w:val="1"/>
          <w:color w:val="000000"/>
          <w:sz w:val="28"/>
          <w:szCs w:val="28"/>
        </w:rPr>
        <w:t>Мероприятия «Аварийный резерв материально-технических ресурсов для предупреждения ситуаций, которые могут привести к нарушению функционирования систем жизнеобеспечения населения, и ликвидации их последствий на объектах жилищно-коммунального хозяйства Пензенской области».</w:t>
      </w:r>
    </w:p>
    <w:p>
      <w:pPr>
        <w:spacing w:before="0" w:after="0" w:beforeAutospacing="0" w:afterAutospacing="0"/>
        <w:ind w:firstLine="0" w:left="0" w:right="0"/>
        <w:jc w:val="both"/>
        <w:outlineLvl w:val="9"/>
        <w:rPr>
          <w:color w:val="000000"/>
        </w:rPr>
      </w:pPr>
      <w:bookmarkStart w:id="5" w:name="_Hlk188959677"/>
      <w:r>
        <w:rPr>
          <w:rFonts w:ascii="Times New Roman" w:hAnsi="Times New Roman" w:cs="Times New Roman" w:eastAsia="Times New Roman"/>
          <w:b w:val="0"/>
          <w:i w:val="0"/>
          <w:color w:val="000000"/>
          <w:sz w:val="28"/>
          <w:szCs w:val="28"/>
        </w:rPr>
        <w:t> </w:t>
      </w:r>
      <w:bookmarkEnd w:id="5"/>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Объем ассигнований на 2024 год – 16 399,6 тыс. рублей;</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Освоено за 12 месяцев 2024 года – 16 399,6 тыс. рублей;</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Процент освоения составляет – 100 %.</w:t>
      </w:r>
    </w:p>
    <w:p>
      <w:pPr>
        <w:spacing w:before="0" w:after="0" w:beforeAutospacing="0" w:afterAutospacing="0"/>
        <w:ind w:firstLine="720" w:left="0" w:right="0"/>
        <w:jc w:val="both"/>
        <w:outlineLvl w:val="9"/>
        <w:rPr>
          <w:color w:val="000000"/>
        </w:rPr>
      </w:pPr>
      <w:bookmarkStart w:id="6" w:name="_Hlk188959662"/>
      <w:r>
        <w:rPr>
          <w:rFonts w:ascii="Times New Roman" w:hAnsi="Times New Roman" w:cs="Times New Roman" w:eastAsia="Times New Roman"/>
          <w:b w:val="0"/>
          <w:i w:val="0"/>
          <w:color w:val="000000"/>
          <w:sz w:val="28"/>
          <w:szCs w:val="28"/>
        </w:rPr>
        <w:t>В рамках данного мероприятия за 12 месяцев 2024 года устранено 124 ситуации, которые привели или могут привести к нарушению функционирования систем жизнеобеспечения населения, и ликвидация их последствий на объектах жилищно-коммунального хозяйства Пензенской области.</w:t>
      </w:r>
      <w:bookmarkEnd w:id="6"/>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1"/>
          <w:i w:val="1"/>
          <w:color w:val="000000"/>
          <w:sz w:val="28"/>
          <w:szCs w:val="28"/>
        </w:rPr>
        <w:t> </w:t>
      </w:r>
    </w:p>
    <w:p>
      <w:pPr>
        <w:spacing w:before="0" w:after="0" w:beforeAutospacing="0" w:afterAutospacing="0"/>
        <w:ind w:firstLine="0" w:left="0" w:right="0"/>
        <w:jc w:val="center"/>
        <w:outlineLvl w:val="9"/>
        <w:rPr>
          <w:color w:val="000000"/>
        </w:rPr>
      </w:pPr>
      <w:r>
        <w:rPr>
          <w:rFonts w:ascii="Times New Roman" w:hAnsi="Times New Roman" w:cs="Times New Roman" w:eastAsia="Times New Roman"/>
          <w:b w:val="1"/>
          <w:i w:val="1"/>
          <w:color w:val="000000"/>
          <w:sz w:val="28"/>
          <w:szCs w:val="28"/>
        </w:rPr>
        <w:t xml:space="preserve">Мероприятие «Проведение областного смотра-конкурса на звание </w:t>
        <w:br w:type="textWrapping"/>
        <w:t>"Лучший добровольный пожарный Пензенской области».</w:t>
      </w:r>
    </w:p>
    <w:p>
      <w:pPr>
        <w:spacing w:before="0" w:after="0" w:beforeAutospacing="0" w:afterAutospacing="0"/>
        <w:ind w:firstLine="0" w:left="0" w:right="0"/>
        <w:jc w:val="both"/>
        <w:outlineLvl w:val="9"/>
        <w:rPr>
          <w:color w:val="000000"/>
        </w:rPr>
      </w:pPr>
      <w:bookmarkStart w:id="7" w:name="_Hlk188959941"/>
      <w:r>
        <w:rPr>
          <w:rFonts w:ascii="Times New Roman" w:hAnsi="Times New Roman" w:cs="Times New Roman" w:eastAsia="Times New Roman"/>
          <w:b w:val="0"/>
          <w:i w:val="0"/>
          <w:color w:val="000000"/>
          <w:sz w:val="28"/>
          <w:szCs w:val="28"/>
        </w:rPr>
        <w:t> </w:t>
      </w:r>
      <w:bookmarkEnd w:id="7"/>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Объем ассигнований на 2024 год – 103,96 тыс. рублей;</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Освоено за 12 месяцев 2024 года – 103,96 тыс. рублей;</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Процент освоения составляет – 100 %. </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В рамках данного мероприятия осуществляется участие в организации проведения областного смотра-конкурса, приобретение сувенирной продукции.</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4"/>
          <w:szCs w:val="24"/>
        </w:rPr>
        <w:t> </w:t>
      </w:r>
    </w:p>
    <w:p>
      <w:pPr>
        <w:spacing w:before="0" w:after="0" w:beforeAutospacing="0" w:afterAutospacing="0"/>
        <w:ind w:firstLine="540" w:left="0" w:right="0"/>
        <w:jc w:val="center"/>
        <w:outlineLvl w:val="9"/>
        <w:rPr>
          <w:color w:val="000000"/>
        </w:rPr>
      </w:pPr>
      <w:r>
        <w:rPr>
          <w:rFonts w:ascii="Times New Roman" w:hAnsi="Times New Roman" w:cs="Times New Roman" w:eastAsia="Times New Roman"/>
          <w:b w:val="1"/>
          <w:i w:val="0"/>
          <w:color w:val="000000"/>
          <w:sz w:val="28"/>
          <w:szCs w:val="28"/>
        </w:rPr>
        <w:t>Информация о реализации государственной программы Пензенской области «Обеспечение жильем и коммунальными услугами населения Пензенской области»</w:t>
      </w:r>
    </w:p>
    <w:p>
      <w:pPr>
        <w:spacing w:before="0" w:after="0" w:beforeAutospacing="0" w:afterAutospacing="0"/>
        <w:ind w:firstLine="540" w:left="0" w:right="0"/>
        <w:jc w:val="center"/>
        <w:outlineLvl w:val="9"/>
        <w:rPr>
          <w:color w:val="000000"/>
        </w:rPr>
      </w:pPr>
      <w:r>
        <w:rPr>
          <w:rFonts w:ascii="Times New Roman" w:hAnsi="Times New Roman" w:cs="Times New Roman" w:eastAsia="Times New Roman"/>
          <w:b w:val="1"/>
          <w:i w:val="0"/>
          <w:color w:val="000000"/>
          <w:sz w:val="28"/>
          <w:szCs w:val="28"/>
        </w:rPr>
        <w:t> </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В состав структуры госпрограммы в 2024 году включено 10 структурных элементов.</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Структурные элементы ответственным исполнителем которых является Министерство ЖКХ и ГЗН Пензенской области:</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 xml:space="preserve">-  Региональный проект </w:t>
      </w:r>
      <w:r>
        <w:rPr>
          <w:rFonts w:ascii="Times New Roman" w:hAnsi="Times New Roman" w:cs="Times New Roman" w:eastAsia="Times New Roman"/>
          <w:b w:val="1"/>
          <w:i w:val="0"/>
          <w:color w:val="000000"/>
          <w:sz w:val="28"/>
          <w:szCs w:val="28"/>
        </w:rPr>
        <w:t>«Чистая вода»</w:t>
      </w:r>
      <w:r>
        <w:rPr>
          <w:rFonts w:ascii="Times New Roman" w:hAnsi="Times New Roman" w:cs="Times New Roman" w:eastAsia="Times New Roman"/>
          <w:b w:val="0"/>
          <w:i w:val="0"/>
          <w:color w:val="000000"/>
          <w:sz w:val="28"/>
          <w:szCs w:val="28"/>
        </w:rPr>
        <w:t xml:space="preserve"> в составе национального проекта «Жилье и городская среда» </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На 2024 год установлены 3 показателя:</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1. Увеличение доли населения Пензенской области, обеспеченного качественной питьевой водой из систем централизованного водоснабжения до 99,2 %;</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2. Увеличение доли городского населения Пензенской области, обеспеченного качественной питьевой водой из систем централизованного водоснабжения до 99,0%.</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3. Количество построенных и реконструированных (модернизированных) объектов питьевого водоснабжения и водоподготовки, предусмотренных региональными программы нарастающим итогом 13 ед.</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Лимит средств федерального бюджета в рамках регионального проекта «Чистая вода» для Пензенской области, предусмотренный в рамках федерального проекта «Чистая вода» на период 2019-2024 гг., освоен в полном объеме в период 2020-2023 годов.</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Целевые показатели достигнуты в т.ч. за счет строительства и капитального ремонта объектов водоснабжения в рамках ведомственного проекта «Развитие жилищно-коммунального хозяйства Пензенской области».</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В рамках федерального и регионального проектов «</w:t>
      </w:r>
      <w:r>
        <w:rPr>
          <w:rFonts w:ascii="Times New Roman" w:hAnsi="Times New Roman" w:cs="Times New Roman" w:eastAsia="Times New Roman"/>
          <w:b w:val="1"/>
          <w:i w:val="0"/>
          <w:color w:val="000000"/>
          <w:sz w:val="28"/>
          <w:szCs w:val="28"/>
        </w:rPr>
        <w:t>Обеспечение устойчивого сокращения непригодного для проживания жилищного фонда</w:t>
      </w:r>
      <w:r>
        <w:rPr>
          <w:rFonts w:ascii="Times New Roman" w:hAnsi="Times New Roman" w:cs="Times New Roman" w:eastAsia="Times New Roman"/>
          <w:b w:val="0"/>
          <w:i w:val="0"/>
          <w:color w:val="000000"/>
          <w:sz w:val="28"/>
          <w:szCs w:val="28"/>
        </w:rPr>
        <w:t xml:space="preserve">» с предоставлением финансовой поддержки за счет средств публично-правовой компании «Фонд развития территорий» по региональной адресной программе «Переселение граждан из аварийного жилищного фонда </w:t>
        <w:br w:type="textWrapping"/>
        <w:t xml:space="preserve">на территории Пензенской области в 2019 - 2025 годах» по состоянию </w:t>
        <w:br w:type="textWrapping"/>
        <w:t>на 01.01.2025 расселено 62,86 тыс.кв.м. аварийного жилья, 3 875 человек улучшили жилищные условия.</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 xml:space="preserve">По состоянию на 01.01.2025 достижение целевых показателей, установленных федеральным проектом, нарастающим итогом составило 110,8% по расселяемой площади и 122,7% по переселяемым гражданам. </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Средства, планируемые к контрактации и освоению в 2024 году, законтрактованы и освоены в полном объеме.</w:t>
      </w:r>
    </w:p>
    <w:p>
      <w:pPr>
        <w:spacing w:before="0" w:after="0" w:beforeAutospacing="0" w:afterAutospacing="0"/>
        <w:ind w:firstLine="560" w:left="0" w:right="0"/>
        <w:jc w:val="both"/>
        <w:outlineLvl w:val="9"/>
        <w:rPr>
          <w:color w:val="000000"/>
        </w:rPr>
      </w:pPr>
      <w:r>
        <w:rPr>
          <w:rFonts w:ascii="Times New Roman" w:hAnsi="Times New Roman" w:cs="Times New Roman" w:eastAsia="Times New Roman"/>
          <w:b w:val="0"/>
          <w:i w:val="0"/>
          <w:color w:val="000000"/>
          <w:sz w:val="28"/>
          <w:szCs w:val="28"/>
        </w:rPr>
        <w:t>В рамках региональной программы «</w:t>
      </w:r>
      <w:r>
        <w:rPr>
          <w:rFonts w:ascii="Times New Roman" w:hAnsi="Times New Roman" w:cs="Times New Roman" w:eastAsia="Times New Roman"/>
          <w:b w:val="1"/>
          <w:i w:val="0"/>
          <w:color w:val="000000"/>
          <w:sz w:val="28"/>
          <w:szCs w:val="28"/>
        </w:rPr>
        <w:t>Модернизация систем коммунальной инфраструктуры</w:t>
      </w:r>
      <w:r>
        <w:rPr>
          <w:rFonts w:ascii="Times New Roman" w:hAnsi="Times New Roman" w:cs="Times New Roman" w:eastAsia="Times New Roman"/>
          <w:b w:val="0"/>
          <w:i w:val="0"/>
          <w:color w:val="000000"/>
          <w:sz w:val="28"/>
          <w:szCs w:val="28"/>
        </w:rPr>
        <w:t xml:space="preserve"> </w:t>
      </w:r>
      <w:r>
        <w:rPr>
          <w:rFonts w:ascii="Times New Roman" w:hAnsi="Times New Roman" w:cs="Times New Roman" w:eastAsia="Times New Roman"/>
          <w:b w:val="1"/>
          <w:i w:val="0"/>
          <w:color w:val="000000"/>
          <w:sz w:val="28"/>
          <w:szCs w:val="28"/>
        </w:rPr>
        <w:t>на территории Пензенской области на 2023-2027 годы</w:t>
      </w:r>
      <w:r>
        <w:rPr>
          <w:rFonts w:ascii="Times New Roman" w:hAnsi="Times New Roman" w:cs="Times New Roman" w:eastAsia="Times New Roman"/>
          <w:b w:val="0"/>
          <w:i w:val="0"/>
          <w:color w:val="000000"/>
          <w:sz w:val="28"/>
          <w:szCs w:val="28"/>
        </w:rPr>
        <w:t xml:space="preserve">» с финансовой поддержкой средств ППК «Фонд развития территорий» в 2024 году реализовано 2 мероприятия: </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 «Капитальный ремонт сетей водоснабжения п. Октябрьский Новопичурского сельсовета Наровчатского района» стоимостью 378,883 тыс. руб., из них средства Фонда – 73,0 тыс. руб., средства консолидированного бюджета Пензенской области – 305,883 тыс. руб.</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 xml:space="preserve">- «Строительство сети водоотведения пос. Лесной в г. Пензе» стоимостью 46,738 млн. руб., из них средства Фонда – 35,832 млн. руб., средства консолидированного бюджета Пензенской области – 10,906 млн. руб. </w:t>
      </w:r>
    </w:p>
    <w:p>
      <w:pPr>
        <w:spacing w:before="0" w:after="0" w:beforeAutospacing="0" w:afterAutospacing="0"/>
        <w:ind w:firstLine="560" w:left="0" w:right="0"/>
        <w:jc w:val="both"/>
        <w:outlineLvl w:val="9"/>
        <w:rPr>
          <w:color w:val="000000"/>
        </w:rPr>
      </w:pPr>
      <w:r>
        <w:rPr>
          <w:rFonts w:ascii="Times New Roman" w:hAnsi="Times New Roman" w:cs="Times New Roman" w:eastAsia="Times New Roman"/>
          <w:b w:val="0"/>
          <w:i w:val="0"/>
          <w:color w:val="000000"/>
          <w:sz w:val="28"/>
          <w:szCs w:val="28"/>
        </w:rPr>
        <w:t xml:space="preserve">В рамках мероприятий ведомственного проекта </w:t>
      </w:r>
      <w:r>
        <w:rPr>
          <w:rFonts w:ascii="Times New Roman" w:hAnsi="Times New Roman" w:cs="Times New Roman" w:eastAsia="Times New Roman"/>
          <w:b w:val="1"/>
          <w:i w:val="0"/>
          <w:color w:val="000000"/>
          <w:sz w:val="28"/>
          <w:szCs w:val="28"/>
        </w:rPr>
        <w:t>«Развитие жилищно-коммунального хозяйства Пензенской области»</w:t>
      </w:r>
      <w:r>
        <w:rPr>
          <w:rFonts w:ascii="Times New Roman" w:hAnsi="Times New Roman" w:cs="Times New Roman" w:eastAsia="Times New Roman"/>
          <w:b w:val="0"/>
          <w:i w:val="0"/>
          <w:color w:val="000000"/>
          <w:sz w:val="28"/>
          <w:szCs w:val="28"/>
        </w:rPr>
        <w:t xml:space="preserve"> реализованы следующие мероприятия:</w:t>
      </w:r>
    </w:p>
    <w:p>
      <w:pPr>
        <w:spacing w:before="0" w:after="0" w:beforeAutospacing="0" w:afterAutospacing="0"/>
        <w:ind w:firstLine="560" w:left="0" w:right="0"/>
        <w:jc w:val="both"/>
        <w:outlineLvl w:val="9"/>
        <w:rPr>
          <w:color w:val="000000"/>
        </w:rPr>
      </w:pPr>
      <w:r>
        <w:rPr>
          <w:rFonts w:ascii="Times New Roman" w:hAnsi="Times New Roman" w:cs="Times New Roman" w:eastAsia="Times New Roman"/>
          <w:b w:val="0"/>
          <w:i w:val="0"/>
          <w:color w:val="000000"/>
          <w:sz w:val="28"/>
          <w:szCs w:val="28"/>
        </w:rPr>
        <w:t xml:space="preserve">- по строительству и капитальному ремонту 48 объектов </w:t>
      </w:r>
      <w:r>
        <w:rPr>
          <w:rFonts w:ascii="Times New Roman" w:hAnsi="Times New Roman" w:cs="Times New Roman" w:eastAsia="Times New Roman"/>
          <w:b w:val="1"/>
          <w:i w:val="0"/>
          <w:color w:val="000000"/>
          <w:sz w:val="28"/>
          <w:szCs w:val="28"/>
        </w:rPr>
        <w:t>водоснабжения</w:t>
      </w:r>
      <w:r>
        <w:rPr>
          <w:rFonts w:ascii="Times New Roman" w:hAnsi="Times New Roman" w:cs="Times New Roman" w:eastAsia="Times New Roman"/>
          <w:b w:val="0"/>
          <w:i w:val="0"/>
          <w:color w:val="000000"/>
          <w:sz w:val="28"/>
          <w:szCs w:val="28"/>
        </w:rPr>
        <w:t xml:space="preserve"> в 34 муниципальных образованиях Пензенской области на сумму субсидии из бюджета Пензенской области - 94,58 млн.руб. </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 xml:space="preserve">- по совершенствованию систем </w:t>
      </w:r>
      <w:r>
        <w:rPr>
          <w:rFonts w:ascii="Times New Roman" w:hAnsi="Times New Roman" w:cs="Times New Roman" w:eastAsia="Times New Roman"/>
          <w:b w:val="1"/>
          <w:i w:val="0"/>
          <w:color w:val="000000"/>
          <w:sz w:val="28"/>
          <w:szCs w:val="28"/>
        </w:rPr>
        <w:t>теплоснабжения</w:t>
      </w:r>
      <w:r>
        <w:rPr>
          <w:rFonts w:ascii="Times New Roman" w:hAnsi="Times New Roman" w:cs="Times New Roman" w:eastAsia="Times New Roman"/>
          <w:b w:val="0"/>
          <w:i w:val="0"/>
          <w:color w:val="000000"/>
          <w:sz w:val="28"/>
          <w:szCs w:val="28"/>
        </w:rPr>
        <w:t xml:space="preserve"> в населенных пунктах Пензенской области:</w:t>
      </w:r>
    </w:p>
    <w:p>
      <w:pPr>
        <w:spacing w:before="0" w:after="0" w:beforeAutospacing="0" w:afterAutospacing="0"/>
        <w:ind w:firstLine="860" w:left="0" w:right="0"/>
        <w:jc w:val="both"/>
        <w:outlineLvl w:val="9"/>
        <w:rPr>
          <w:color w:val="000000"/>
        </w:rPr>
      </w:pPr>
      <w:r>
        <w:rPr>
          <w:rFonts w:ascii="Times New Roman" w:hAnsi="Times New Roman" w:cs="Times New Roman" w:eastAsia="Times New Roman"/>
          <w:b w:val="0"/>
          <w:i w:val="0"/>
          <w:color w:val="000000"/>
          <w:sz w:val="28"/>
          <w:szCs w:val="28"/>
        </w:rPr>
        <w:t>1) капитальный ремонт участка теплотрассы в г. Кузнецке. Софинансирование из областного бюджета – 15,66 млн. руб.;</w:t>
      </w:r>
    </w:p>
    <w:p>
      <w:pPr>
        <w:spacing w:before="0" w:after="0" w:beforeAutospacing="0" w:afterAutospacing="0"/>
        <w:ind w:firstLine="860" w:left="0" w:right="0"/>
        <w:jc w:val="both"/>
        <w:outlineLvl w:val="9"/>
        <w:rPr>
          <w:color w:val="000000"/>
        </w:rPr>
      </w:pPr>
      <w:r>
        <w:rPr>
          <w:rFonts w:ascii="Times New Roman" w:hAnsi="Times New Roman" w:cs="Times New Roman" w:eastAsia="Times New Roman"/>
          <w:b w:val="0"/>
          <w:i w:val="0"/>
          <w:color w:val="000000"/>
          <w:sz w:val="28"/>
          <w:szCs w:val="28"/>
        </w:rPr>
        <w:t>2) замена одного котла в модульной котельной с. Верхняя Елюзань Городищенского района. Софинансирование из областного бюджета – 0,84 млн.руб.;</w:t>
      </w:r>
    </w:p>
    <w:p>
      <w:pPr>
        <w:spacing w:before="0" w:after="0" w:beforeAutospacing="0" w:afterAutospacing="0"/>
        <w:ind w:firstLine="860" w:left="0" w:right="0"/>
        <w:jc w:val="both"/>
        <w:outlineLvl w:val="9"/>
        <w:rPr>
          <w:color w:val="000000"/>
        </w:rPr>
      </w:pPr>
      <w:r>
        <w:rPr>
          <w:rFonts w:ascii="Times New Roman" w:hAnsi="Times New Roman" w:cs="Times New Roman" w:eastAsia="Times New Roman"/>
          <w:b w:val="0"/>
          <w:i w:val="0"/>
          <w:color w:val="000000"/>
          <w:sz w:val="28"/>
          <w:szCs w:val="28"/>
        </w:rPr>
        <w:t>3) капитальный ремонт теплотрассы в р.п. Башмаково Башмаковского района. Софинансирование из областного бюджета – 2,7 млн.руб.;</w:t>
      </w:r>
    </w:p>
    <w:p>
      <w:pPr>
        <w:spacing w:before="0" w:after="0" w:beforeAutospacing="0" w:afterAutospacing="0"/>
        <w:ind w:firstLine="860" w:left="0" w:right="0"/>
        <w:jc w:val="both"/>
        <w:outlineLvl w:val="9"/>
        <w:rPr>
          <w:color w:val="000000"/>
        </w:rPr>
      </w:pPr>
      <w:r>
        <w:rPr>
          <w:rFonts w:ascii="Times New Roman" w:hAnsi="Times New Roman" w:cs="Times New Roman" w:eastAsia="Times New Roman"/>
          <w:b w:val="0"/>
          <w:i w:val="0"/>
          <w:color w:val="000000"/>
          <w:sz w:val="28"/>
          <w:szCs w:val="28"/>
        </w:rPr>
        <w:t>4) приобретение котлов для котельных в с. Лермонтово и г. Белинский Белинского района. Софинансирование из областного бюджета – 2,4 млн.руб.;</w:t>
      </w:r>
    </w:p>
    <w:p>
      <w:pPr>
        <w:spacing w:before="0" w:after="0" w:beforeAutospacing="0" w:afterAutospacing="0"/>
        <w:ind w:firstLine="860" w:left="0" w:right="0"/>
        <w:jc w:val="both"/>
        <w:outlineLvl w:val="9"/>
        <w:rPr>
          <w:color w:val="000000"/>
        </w:rPr>
      </w:pPr>
      <w:r>
        <w:rPr>
          <w:rFonts w:ascii="Times New Roman" w:hAnsi="Times New Roman" w:cs="Times New Roman" w:eastAsia="Times New Roman"/>
          <w:b w:val="0"/>
          <w:i w:val="0"/>
          <w:color w:val="000000"/>
          <w:sz w:val="28"/>
          <w:szCs w:val="28"/>
        </w:rPr>
        <w:t>5) модернизация котельной № 14 в г. Сердобске с заменой существующего котла. Софинансирование из областного бюджета – 3,4 млн.руб.;</w:t>
      </w:r>
    </w:p>
    <w:p>
      <w:pPr>
        <w:spacing w:before="0" w:after="0" w:beforeAutospacing="0" w:afterAutospacing="0"/>
        <w:ind w:firstLine="860" w:left="0" w:right="0"/>
        <w:jc w:val="both"/>
        <w:outlineLvl w:val="9"/>
        <w:rPr>
          <w:color w:val="000000"/>
        </w:rPr>
      </w:pPr>
      <w:r>
        <w:rPr>
          <w:rFonts w:ascii="Times New Roman" w:hAnsi="Times New Roman" w:cs="Times New Roman" w:eastAsia="Times New Roman"/>
          <w:b w:val="0"/>
          <w:i w:val="0"/>
          <w:color w:val="000000"/>
          <w:sz w:val="28"/>
          <w:szCs w:val="28"/>
        </w:rPr>
        <w:t>6) приобретение и установка модульной котельной в п. Пограничный Колышлейского района. Софинансирование из областного бюджета – 3,7 млн.руб.;</w:t>
      </w:r>
    </w:p>
    <w:p>
      <w:pPr>
        <w:spacing w:before="0" w:after="0" w:beforeAutospacing="0" w:afterAutospacing="0"/>
        <w:ind w:firstLine="860" w:left="0" w:right="0"/>
        <w:jc w:val="both"/>
        <w:outlineLvl w:val="9"/>
        <w:rPr>
          <w:color w:val="000000"/>
        </w:rPr>
      </w:pPr>
      <w:r>
        <w:rPr>
          <w:rFonts w:ascii="Times New Roman" w:hAnsi="Times New Roman" w:cs="Times New Roman" w:eastAsia="Times New Roman"/>
          <w:b w:val="0"/>
          <w:i w:val="0"/>
          <w:color w:val="000000"/>
          <w:sz w:val="28"/>
          <w:szCs w:val="28"/>
        </w:rPr>
        <w:t>7) приобретение и установка модульной котельной в с. Старая Каменка Пензенского района. Софинансирование из областного бюджета – 28,7 млн.руб.;</w:t>
      </w:r>
    </w:p>
    <w:p>
      <w:pPr>
        <w:spacing w:before="0" w:after="0" w:beforeAutospacing="0" w:afterAutospacing="0"/>
        <w:ind w:firstLine="860" w:left="0" w:right="0"/>
        <w:jc w:val="both"/>
        <w:outlineLvl w:val="9"/>
        <w:rPr>
          <w:color w:val="000000"/>
        </w:rPr>
      </w:pPr>
      <w:r>
        <w:rPr>
          <w:rFonts w:ascii="Times New Roman" w:hAnsi="Times New Roman" w:cs="Times New Roman" w:eastAsia="Times New Roman"/>
          <w:b w:val="0"/>
          <w:i w:val="0"/>
          <w:color w:val="000000"/>
          <w:sz w:val="28"/>
          <w:szCs w:val="28"/>
        </w:rPr>
        <w:t>8) приобретение и установка модульной блочной котельной взамен существующей в г. Белинский, софинансирование из областного бюджета – 19,9 млн.руб.</w:t>
      </w:r>
    </w:p>
    <w:p>
      <w:pPr>
        <w:spacing w:before="0" w:after="0" w:beforeAutospacing="0" w:afterAutospacing="0"/>
        <w:ind w:firstLine="860" w:left="0" w:right="0"/>
        <w:jc w:val="both"/>
        <w:outlineLvl w:val="9"/>
        <w:rPr>
          <w:color w:val="000000"/>
        </w:rPr>
      </w:pPr>
      <w:r>
        <w:rPr>
          <w:rFonts w:ascii="Times New Roman" w:hAnsi="Times New Roman" w:cs="Times New Roman" w:eastAsia="Times New Roman"/>
          <w:b w:val="0"/>
          <w:i w:val="0"/>
          <w:color w:val="000000"/>
          <w:sz w:val="28"/>
          <w:szCs w:val="28"/>
        </w:rPr>
        <w:t xml:space="preserve">- по совершенствованию систем </w:t>
      </w:r>
      <w:r>
        <w:rPr>
          <w:rFonts w:ascii="Times New Roman" w:hAnsi="Times New Roman" w:cs="Times New Roman" w:eastAsia="Times New Roman"/>
          <w:b w:val="1"/>
          <w:i w:val="0"/>
          <w:color w:val="000000"/>
          <w:sz w:val="28"/>
          <w:szCs w:val="28"/>
        </w:rPr>
        <w:t>наружного освещения</w:t>
      </w:r>
      <w:r>
        <w:rPr>
          <w:rFonts w:ascii="Times New Roman" w:hAnsi="Times New Roman" w:cs="Times New Roman" w:eastAsia="Times New Roman"/>
          <w:b w:val="0"/>
          <w:i w:val="0"/>
          <w:color w:val="000000"/>
          <w:sz w:val="28"/>
          <w:szCs w:val="28"/>
        </w:rPr>
        <w:t xml:space="preserve"> населенных пунктов в 26 муниципальных образованиях. Установлено 1 546 прибора наружного освещения. Сумма субсидии из областного бюджета составила 6,7 млн.руб. </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 xml:space="preserve">- по закупке 14 единиц </w:t>
      </w:r>
      <w:r>
        <w:rPr>
          <w:rFonts w:ascii="Times New Roman" w:hAnsi="Times New Roman" w:cs="Times New Roman" w:eastAsia="Times New Roman"/>
          <w:b w:val="1"/>
          <w:i w:val="0"/>
          <w:color w:val="000000"/>
          <w:sz w:val="28"/>
          <w:szCs w:val="28"/>
        </w:rPr>
        <w:t>коммунальной техники</w:t>
      </w:r>
      <w:r>
        <w:rPr>
          <w:rFonts w:ascii="Times New Roman" w:hAnsi="Times New Roman" w:cs="Times New Roman" w:eastAsia="Times New Roman"/>
          <w:b w:val="0"/>
          <w:i w:val="0"/>
          <w:color w:val="000000"/>
          <w:sz w:val="28"/>
          <w:szCs w:val="28"/>
        </w:rPr>
        <w:t>:</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1) для г. Пензы 1 единица на сумму софинансирования 16,5 млн. руб.;</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2) для г. Н. Ломова 3 единицы на сумму софинансирования 18,7 млн. руб.;</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 xml:space="preserve">3) для Колышлейского района 8 единиц на сумму софинансирования 37,8 млн. руб. </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4) для г. Заречного 2 единицы на сумму софинансирования 7,16 млн.руб.</w:t>
      </w:r>
    </w:p>
    <w:p>
      <w:pPr>
        <w:spacing w:before="0" w:after="0" w:beforeAutospacing="0" w:afterAutospacing="0"/>
        <w:ind w:firstLine="0" w:left="0" w:right="0"/>
        <w:jc w:val="left"/>
        <w:outlineLvl w:val="9"/>
        <w:rPr>
          <w:color w:val="000000"/>
        </w:rPr>
      </w:pPr>
      <w:r>
        <w:rPr>
          <w:rFonts w:ascii="Times New Roman" w:hAnsi="Times New Roman" w:cs="Times New Roman" w:eastAsia="Times New Roman"/>
          <w:b w:val="0"/>
          <w:i w:val="0"/>
          <w:color w:val="000000"/>
          <w:sz w:val="28"/>
          <w:szCs w:val="28"/>
        </w:rPr>
        <w:t> </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 Комплекс процессных мероприятий "</w:t>
      </w:r>
      <w:r>
        <w:rPr>
          <w:rFonts w:ascii="Times New Roman" w:hAnsi="Times New Roman" w:cs="Times New Roman" w:eastAsia="Times New Roman"/>
          <w:b w:val="1"/>
          <w:i w:val="0"/>
          <w:color w:val="000000"/>
          <w:sz w:val="28"/>
          <w:szCs w:val="28"/>
        </w:rPr>
        <w:t>Взаимодействие с органами местного самоуправления по переданным полномочиям и осуществлению отдельных полномочий"</w:t>
      </w:r>
      <w:r>
        <w:rPr>
          <w:rFonts w:ascii="Times New Roman" w:hAnsi="Times New Roman" w:cs="Times New Roman" w:eastAsia="Times New Roman"/>
          <w:b w:val="0"/>
          <w:i w:val="0"/>
          <w:color w:val="000000"/>
          <w:sz w:val="28"/>
          <w:szCs w:val="28"/>
        </w:rPr>
        <w:t xml:space="preserve"> </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Реализованы мероприятия:</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 «Обеспечена деятельность регионального фонда капитального ремонта многоквартирных домов Пензенской области»;</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 «Осуществлен региональный государственный лицензионный контроль за осуществлением предпринимательской деятельности по управлению многоквартирными домами и региональный государственный жилищный контроль (надзор)».</w:t>
      </w:r>
    </w:p>
    <w:p>
      <w:pPr>
        <w:spacing w:before="0" w:after="0" w:beforeAutospacing="0" w:afterAutospacing="0"/>
        <w:ind w:firstLine="700" w:left="0" w:right="0"/>
        <w:jc w:val="both"/>
        <w:outlineLvl w:val="9"/>
        <w:rPr>
          <w:color w:val="000000"/>
        </w:rPr>
      </w:pPr>
      <w:r>
        <w:rPr>
          <w:rFonts w:ascii="Times New Roman" w:hAnsi="Times New Roman" w:cs="Times New Roman" w:eastAsia="Times New Roman"/>
          <w:b w:val="0"/>
          <w:i w:val="0"/>
          <w:color w:val="000000"/>
          <w:sz w:val="28"/>
          <w:szCs w:val="28"/>
        </w:rPr>
        <w:t xml:space="preserve">- Комплекс процессных мероприятий </w:t>
      </w:r>
      <w:r>
        <w:rPr>
          <w:rFonts w:ascii="Times New Roman" w:hAnsi="Times New Roman" w:cs="Times New Roman" w:eastAsia="Times New Roman"/>
          <w:b w:val="1"/>
          <w:i w:val="0"/>
          <w:color w:val="000000"/>
          <w:sz w:val="28"/>
          <w:szCs w:val="28"/>
        </w:rPr>
        <w:t>«Обеспечение энергосбережения и повышения энергетической эффективности Пензенской области</w:t>
      </w:r>
      <w:r>
        <w:rPr>
          <w:rFonts w:ascii="Times New Roman" w:hAnsi="Times New Roman" w:cs="Times New Roman" w:eastAsia="Times New Roman"/>
          <w:b w:val="0"/>
          <w:i w:val="0"/>
          <w:color w:val="000000"/>
          <w:sz w:val="28"/>
          <w:szCs w:val="28"/>
        </w:rPr>
        <w:t>» (внебюджетные средства).</w:t>
      </w:r>
    </w:p>
    <w:p>
      <w:pPr>
        <w:spacing w:before="0" w:after="0" w:beforeAutospacing="0" w:afterAutospacing="0"/>
        <w:ind w:firstLine="540" w:left="0" w:right="0"/>
        <w:jc w:val="center"/>
        <w:outlineLvl w:val="9"/>
        <w:rPr>
          <w:color w:val="000000"/>
        </w:rPr>
      </w:pPr>
      <w:r>
        <w:rPr>
          <w:rFonts w:ascii="Times New Roman" w:hAnsi="Times New Roman" w:cs="Times New Roman" w:eastAsia="Times New Roman"/>
          <w:b w:val="1"/>
          <w:i w:val="0"/>
          <w:color w:val="000000"/>
          <w:sz w:val="28"/>
          <w:szCs w:val="28"/>
        </w:rPr>
        <w:t> </w:t>
      </w:r>
    </w:p>
    <w:p>
      <w:pPr>
        <w:spacing w:before="0" w:after="0" w:beforeAutospacing="0" w:afterAutospacing="0"/>
        <w:ind w:firstLine="540" w:left="0" w:right="0"/>
        <w:jc w:val="center"/>
        <w:outlineLvl w:val="9"/>
        <w:rPr>
          <w:color w:val="000000"/>
        </w:rPr>
      </w:pPr>
      <w:r>
        <w:rPr>
          <w:rFonts w:ascii="Times New Roman" w:hAnsi="Times New Roman" w:cs="Times New Roman" w:eastAsia="Times New Roman"/>
          <w:b w:val="1"/>
          <w:i w:val="0"/>
          <w:color w:val="000000"/>
          <w:sz w:val="28"/>
          <w:szCs w:val="28"/>
        </w:rPr>
        <w:t>4. Анализ показателей бухгалтерской отчетности субъекта бюджетной отчетности</w:t>
      </w:r>
    </w:p>
    <w:p>
      <w:pPr>
        <w:spacing w:before="0" w:after="0" w:beforeAutospacing="0" w:afterAutospacing="0"/>
        <w:ind w:firstLine="540" w:left="0" w:right="0"/>
        <w:jc w:val="center"/>
        <w:outlineLvl w:val="9"/>
        <w:rPr>
          <w:color w:val="000000"/>
        </w:rPr>
      </w:pPr>
      <w:r>
        <w:rPr>
          <w:rFonts w:ascii="Times New Roman" w:hAnsi="Times New Roman" w:cs="Times New Roman" w:eastAsia="Times New Roman"/>
          <w:b w:val="1"/>
          <w:i w:val="0"/>
          <w:color w:val="000000"/>
          <w:sz w:val="28"/>
          <w:szCs w:val="28"/>
        </w:rPr>
        <w:t> </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По состоянию на 01.01.2025г. дебиторская задолженность по Министерству составила  2 508 893 349,95 руб., в том числе:</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0"/>
          <w:i w:val="0"/>
          <w:color w:val="000000"/>
          <w:sz w:val="28"/>
          <w:szCs w:val="28"/>
        </w:rPr>
        <w:t>- дебиторская задолженность по доходам в сумме 2 508 707 617,45 руб., в т.ч. долгосрочные федеральные средства в сумме 1 540 345 200,00 руб.</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0"/>
          <w:i w:val="0"/>
          <w:color w:val="000000"/>
          <w:sz w:val="28"/>
          <w:szCs w:val="28"/>
        </w:rPr>
        <w:t>Просроченная дебиторская задолженность в сумме 6 884 838,97 руб.:</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0"/>
          <w:i w:val="0"/>
          <w:color w:val="000000"/>
          <w:sz w:val="24"/>
          <w:szCs w:val="24"/>
        </w:rPr>
        <w:t> </w:t>
      </w:r>
    </w:p>
    <w:tbl>
      <w:tblPr>
        <w:tblW w:w="14010" w:type="dxa"/>
        <w:tblInd w:w="-332" w:type="dxa"/>
        <w:tblBorders>
          <w:top w:val="none" w:sz="0" w:space="0" w:shadow="0" w:frame="0" w:color="000000"/>
          <w:left w:val="none" w:sz="0" w:space="0" w:shadow="0" w:frame="0" w:color="000000"/>
          <w:bottom w:val="none" w:sz="0" w:space="0" w:shadow="0" w:frame="0" w:color="000000"/>
          <w:right w:val="none" w:sz="0" w:space="0" w:shadow="0" w:frame="0" w:color="000000"/>
          <w:insideH w:val="none" w:sz="0" w:space="0" w:shadow="0" w:frame="0" w:color="auto"/>
          <w:insideV w:val="none" w:sz="0" w:space="0" w:shadow="0" w:frame="0" w:color="auto"/>
        </w:tblBorders>
        <w:tblLayout w:type="autofit"/>
        <w:tblCellMar>
          <w:top w:w="0" w:type="dxa"/>
          <w:left w:w="0" w:type="dxa"/>
          <w:bottom w:w="0" w:type="dxa"/>
          <w:right w:w="0" w:type="dxa"/>
        </w:tblCellMar>
      </w:tblPr>
      <w:tblGrid/>
      <w:tr>
        <w:tc>
          <w:tcPr>
            <w:tcW w:w="276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rPr>
                <w:color w:val="000000"/>
              </w:rPr>
            </w:pPr>
            <w:r>
              <w:rPr>
                <w:rFonts w:ascii="Times New Roman" w:hAnsi="Times New Roman" w:cs="Times New Roman" w:eastAsia="Times New Roman"/>
                <w:b w:val="0"/>
                <w:i w:val="0"/>
                <w:color w:val="000000"/>
                <w:sz w:val="28"/>
                <w:szCs w:val="28"/>
              </w:rPr>
              <w:t>   </w:t>
            </w:r>
            <w:r>
              <w:rPr>
                <w:rFonts w:ascii="Times New Roman" w:hAnsi="Times New Roman" w:cs="Times New Roman" w:eastAsia="Times New Roman"/>
                <w:b w:val="0"/>
                <w:i w:val="0"/>
                <w:color w:val="000000"/>
                <w:sz w:val="24"/>
                <w:szCs w:val="24"/>
              </w:rPr>
              <w:t> </w:t>
            </w:r>
            <w:r>
              <w:rPr>
                <w:rFonts w:ascii="Times New Roman" w:hAnsi="Times New Roman" w:cs="Times New Roman" w:eastAsia="Times New Roman"/>
                <w:b w:val="1"/>
                <w:i w:val="0"/>
                <w:color w:val="000000"/>
                <w:sz w:val="24"/>
                <w:szCs w:val="24"/>
              </w:rPr>
              <w:t>Вид задолженности</w:t>
            </w:r>
          </w:p>
        </w:tc>
        <w:tc>
          <w:tcPr>
            <w:tcW w:w="1708"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rPr>
                <w:color w:val="000000"/>
              </w:rPr>
            </w:pPr>
            <w:r>
              <w:rPr>
                <w:rFonts w:ascii="Times New Roman" w:hAnsi="Times New Roman" w:cs="Times New Roman" w:eastAsia="Times New Roman"/>
                <w:b w:val="1"/>
                <w:i w:val="0"/>
                <w:color w:val="000000"/>
                <w:sz w:val="24"/>
                <w:szCs w:val="24"/>
              </w:rPr>
              <w:t>Количество контрагентов</w:t>
            </w:r>
          </w:p>
        </w:tc>
        <w:tc>
          <w:tcPr>
            <w:tcW w:w="1501"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rPr>
                <w:color w:val="000000"/>
              </w:rPr>
            </w:pPr>
            <w:r>
              <w:rPr>
                <w:rFonts w:ascii="Times New Roman" w:hAnsi="Times New Roman" w:cs="Times New Roman" w:eastAsia="Times New Roman"/>
                <w:b w:val="1"/>
                <w:i w:val="0"/>
                <w:color w:val="000000"/>
                <w:sz w:val="24"/>
                <w:szCs w:val="24"/>
              </w:rPr>
              <w:t>Сумма, руб.</w:t>
            </w:r>
          </w:p>
        </w:tc>
        <w:tc>
          <w:tcPr>
            <w:tcW w:w="2573"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rPr>
                <w:color w:val="000000"/>
              </w:rPr>
            </w:pPr>
            <w:r>
              <w:rPr>
                <w:rFonts w:ascii="Times New Roman" w:hAnsi="Times New Roman" w:cs="Times New Roman" w:eastAsia="Times New Roman"/>
                <w:b w:val="1"/>
                <w:i w:val="0"/>
                <w:color w:val="000000"/>
                <w:sz w:val="24"/>
                <w:szCs w:val="24"/>
              </w:rPr>
              <w:t>Причина образования</w:t>
            </w:r>
          </w:p>
        </w:tc>
        <w:tc>
          <w:tcPr>
            <w:tcW w:w="546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rPr>
                <w:color w:val="000000"/>
              </w:rPr>
            </w:pPr>
            <w:r>
              <w:rPr>
                <w:rFonts w:ascii="Times New Roman" w:hAnsi="Times New Roman" w:cs="Times New Roman" w:eastAsia="Times New Roman"/>
                <w:b w:val="1"/>
                <w:i w:val="0"/>
                <w:color w:val="000000"/>
                <w:sz w:val="24"/>
                <w:szCs w:val="24"/>
              </w:rPr>
              <w:t>Принимаемые меры</w:t>
            </w:r>
          </w:p>
        </w:tc>
      </w:tr>
      <w:tr>
        <w:trPr>
          <w:trHeight w:hRule="atLeast" w:val="442"/>
        </w:trPr>
        <w:tc>
          <w:tcPr>
            <w:tcW w:w="276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КБК 84011601072010233140</w:t>
            </w:r>
          </w:p>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(ст. 7.22 Нарушение правил содержания и ремонта жилых домов и (или) жилых помещений)</w:t>
            </w:r>
          </w:p>
        </w:tc>
        <w:tc>
          <w:tcPr>
            <w:tcW w:w="1708"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rPr>
                <w:color w:val="000000"/>
              </w:rPr>
            </w:pPr>
            <w:r>
              <w:rPr>
                <w:rFonts w:ascii="Times New Roman" w:hAnsi="Times New Roman" w:cs="Times New Roman" w:eastAsia="Times New Roman"/>
                <w:b w:val="0"/>
                <w:i w:val="0"/>
                <w:color w:val="000000"/>
                <w:sz w:val="24"/>
                <w:szCs w:val="24"/>
              </w:rPr>
              <w:t>16</w:t>
            </w:r>
          </w:p>
        </w:tc>
        <w:tc>
          <w:tcPr>
            <w:tcW w:w="1501"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rPr>
                <w:color w:val="000000"/>
              </w:rPr>
            </w:pPr>
            <w:r>
              <w:rPr>
                <w:rFonts w:ascii="Times New Roman" w:hAnsi="Times New Roman" w:cs="Times New Roman" w:eastAsia="Times New Roman"/>
                <w:b w:val="0"/>
                <w:i w:val="0"/>
                <w:color w:val="000000"/>
                <w:sz w:val="24"/>
                <w:szCs w:val="24"/>
              </w:rPr>
              <w:t>214 705,73</w:t>
            </w:r>
          </w:p>
        </w:tc>
        <w:tc>
          <w:tcPr>
            <w:tcW w:w="2573" w:type="dxa"/>
            <w:vMerge w:val="restart"/>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rPr>
                <w:color w:val="000000"/>
              </w:rPr>
            </w:pPr>
            <w:r>
              <w:rPr>
                <w:rFonts w:ascii="Times New Roman" w:hAnsi="Times New Roman" w:cs="Times New Roman" w:eastAsia="Times New Roman"/>
                <w:b w:val="0"/>
                <w:i w:val="0"/>
                <w:color w:val="000000"/>
                <w:sz w:val="24"/>
                <w:szCs w:val="24"/>
              </w:rPr>
              <w:t>Не оплата вовремя по вынесенным Министерством постановлениям , неплатежеспособность должников</w:t>
            </w:r>
          </w:p>
        </w:tc>
        <w:tc>
          <w:tcPr>
            <w:tcW w:w="546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 составлены протоколы по ст. 20.25 КоАП РФ и  направлены судебным приставам;</w:t>
            </w:r>
          </w:p>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 Министерством проводится работа по контролю за ходом исполнительных производств, направляются запросы в отделы УФССП по Пензенской области;</w:t>
            </w:r>
          </w:p>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 по обращениям Министерства в рамках исполнительных производств обновлены запросы в регистрирующие органы и кредитные организации;  </w:t>
            </w:r>
          </w:p>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 xml:space="preserve">- одному должнику вынесено постановление о временном  ограничении на выезд из РФ; </w:t>
            </w:r>
          </w:p>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 xml:space="preserve">- сформировано сводное исполнительное производство; </w:t>
            </w:r>
          </w:p>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 службой судебных приставов проводится работа по взысканию задолженности в соответствии с законом об исполнительном производстве № 229-ФЗ от 02.10.2007г. (по направленным Министерством протоколам);</w:t>
            </w:r>
          </w:p>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 в 2024 году взысканы</w:t>
            </w:r>
          </w:p>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 xml:space="preserve">просроченные штрафы на сумму 9,5 тыс.руб. </w:t>
            </w:r>
          </w:p>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 xml:space="preserve">- в 2024 году списана дебиторская задолженность </w:t>
            </w:r>
          </w:p>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 муниципальных учреждений, образовавшаяся по состоянию на 01.07.2022, (ЖЭМУП №7, МКП "Теплоснабжение") в сумме 335,0 тыс.руб. в соответствии с положениями частей 22-24 статьи 6 Закона №520-ФЗ "О внесении изменений в статьи 96 и 220 Бюджетного кодекса Российской Федерации и об установлении особенностей исполнения бюджетов бюджетной системы Российской Федерации в 2024 году";</w:t>
            </w:r>
          </w:p>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 увеличение просроченной дебиторской задолженности в 2024 году по вновь вынесенным постановлениям на сумму 19,7 тыс. руб.</w:t>
            </w:r>
          </w:p>
        </w:tc>
      </w:tr>
      <w:tr>
        <w:trPr>
          <w:trHeight w:hRule="atLeast" w:val="1001"/>
        </w:trPr>
        <w:tc>
          <w:tcPr>
            <w:tcW w:w="276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left"/>
              <w:outlineLvl w:val="0"/>
              <w:rPr>
                <w:b w:val="1"/>
                <w:color w:val="000000"/>
                <w:sz w:val="48"/>
              </w:rPr>
            </w:pPr>
            <w:r>
              <w:rPr>
                <w:rFonts w:ascii="Times New Roman" w:hAnsi="Times New Roman" w:cs="Times New Roman" w:eastAsia="Times New Roman"/>
                <w:b w:val="0"/>
                <w:i w:val="0"/>
                <w:color w:val="000000"/>
                <w:sz w:val="24"/>
                <w:szCs w:val="24"/>
              </w:rPr>
              <w:t>КБК 84011601072019000140</w:t>
            </w:r>
          </w:p>
          <w:p>
            <w:pPr>
              <w:spacing w:before="0" w:after="0" w:beforeAutospacing="0" w:afterAutospacing="0"/>
              <w:ind w:firstLine="0" w:left="0" w:right="0"/>
              <w:jc w:val="left"/>
              <w:outlineLvl w:val="0"/>
              <w:rPr>
                <w:b w:val="1"/>
                <w:color w:val="000000"/>
                <w:sz w:val="48"/>
              </w:rPr>
            </w:pPr>
            <w:r>
              <w:rPr>
                <w:rFonts w:ascii="Times New Roman" w:hAnsi="Times New Roman" w:cs="Times New Roman" w:eastAsia="Times New Roman"/>
                <w:b w:val="0"/>
                <w:i w:val="0"/>
                <w:color w:val="000000"/>
                <w:sz w:val="24"/>
                <w:szCs w:val="24"/>
              </w:rPr>
              <w:t>(ст. 7.23 КоАП РФ Нарушение нормативов обеспечения населения коммунальными услугами)</w:t>
            </w:r>
          </w:p>
          <w:p>
            <w:pPr>
              <w:spacing w:before="0" w:after="0" w:beforeAutospacing="0" w:afterAutospacing="0"/>
              <w:ind w:firstLine="0" w:left="0" w:right="0"/>
              <w:jc w:val="both"/>
              <w:rPr>
                <w:color w:val="000000"/>
              </w:rPr>
            </w:pPr>
            <w:r>
              <w:rPr>
                <w:rFonts w:ascii="Times New Roman" w:hAnsi="Times New Roman" w:cs="Times New Roman" w:eastAsia="Times New Roman"/>
                <w:b w:val="0"/>
                <w:i w:val="0"/>
                <w:color w:val="000000"/>
                <w:sz w:val="28"/>
                <w:szCs w:val="28"/>
              </w:rPr>
              <w:t> </w:t>
            </w:r>
          </w:p>
        </w:tc>
        <w:tc>
          <w:tcPr>
            <w:tcW w:w="1708"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rPr>
                <w:color w:val="000000"/>
              </w:rPr>
            </w:pPr>
            <w:r>
              <w:rPr>
                <w:rFonts w:ascii="Times New Roman" w:hAnsi="Times New Roman" w:cs="Times New Roman" w:eastAsia="Times New Roman"/>
                <w:b w:val="0"/>
                <w:i w:val="0"/>
                <w:color w:val="000000"/>
                <w:sz w:val="24"/>
                <w:szCs w:val="24"/>
              </w:rPr>
              <w:t>13</w:t>
            </w:r>
          </w:p>
        </w:tc>
        <w:tc>
          <w:tcPr>
            <w:tcW w:w="1501"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rPr>
                <w:color w:val="000000"/>
              </w:rPr>
            </w:pPr>
            <w:r>
              <w:rPr>
                <w:rFonts w:ascii="Times New Roman" w:hAnsi="Times New Roman" w:cs="Times New Roman" w:eastAsia="Times New Roman"/>
                <w:b w:val="0"/>
                <w:i w:val="0"/>
                <w:color w:val="000000"/>
                <w:sz w:val="24"/>
                <w:szCs w:val="24"/>
              </w:rPr>
              <w:t>87 555,49</w:t>
            </w:r>
          </w:p>
        </w:tc>
        <w:tc>
          <w:tcPr>
            <w:tcW w:w="2573" w:type="dxa"/>
            <w:vMerge w:val="continue"/>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ind w:left="0" w:right="0"/>
              <w:rPr>
                <w:color w:val="000000"/>
                <w:sz w:val="24"/>
              </w:rPr>
            </w:pPr>
          </w:p>
        </w:tc>
        <w:tc>
          <w:tcPr>
            <w:tcW w:w="546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w:t>
            </w:r>
            <w:r>
              <w:rPr>
                <w:rFonts w:ascii="Times New Roman" w:hAnsi="Times New Roman" w:cs="Times New Roman" w:eastAsia="Times New Roman"/>
                <w:b w:val="0"/>
                <w:i w:val="0"/>
                <w:color w:val="FF0000"/>
                <w:sz w:val="24"/>
                <w:szCs w:val="24"/>
              </w:rPr>
              <w:t xml:space="preserve"> </w:t>
            </w:r>
            <w:r>
              <w:rPr>
                <w:rFonts w:ascii="Times New Roman" w:hAnsi="Times New Roman" w:cs="Times New Roman" w:eastAsia="Times New Roman"/>
                <w:b w:val="0"/>
                <w:i w:val="0"/>
                <w:color w:val="000000"/>
                <w:sz w:val="24"/>
                <w:szCs w:val="24"/>
              </w:rPr>
              <w:t>составлены протоколы по ст. 20.25 КоАП РФ и  направлены судебным приставам;</w:t>
            </w:r>
          </w:p>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 Министерством проводится работа по контролю за ходом исполнительных производств, направляются запросы в отделы УФССП по Пензенской области;</w:t>
            </w:r>
          </w:p>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 по обращениям Министерства в рамках исполнительных производств обновлены запросы в регистрирующие органы и кредитные организации;  </w:t>
            </w:r>
          </w:p>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 xml:space="preserve">- одному должнику вынесено постановление о временном  ограничении на выезд из РФ, </w:t>
            </w:r>
          </w:p>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 xml:space="preserve"> - сформировано сводное исполнительное производство; </w:t>
            </w:r>
          </w:p>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 службой судебных приставов проводится работа по взысканию задолженности в соответствии с законом об исполнительном производстве № 229-ФЗ от 02.10.2007г. (по направленным Министерством протоколам);</w:t>
            </w:r>
          </w:p>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 в 2024 году взысканы просроченные штрафы на сумму 8,8 тыс. руб.;</w:t>
            </w:r>
          </w:p>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 xml:space="preserve"> - в 2024 году списана дебиторская задолженность </w:t>
            </w:r>
          </w:p>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 муниципальных учреждений, образовавшаяся по состоянию на 01.07.2022, (ЖЭМУП №7) в сумме 90,0 тыс.руб. в соответствии с положениями частей 22-24 статьи 6 Закона №520-ФЗ "О внесении изменений в статьи 96 и 220 Бюджетного кодекса Российской Федерации и об установлении особенностей исполнения бюджетов бюджетной системы Российской Федерации в 2024 году";</w:t>
            </w:r>
          </w:p>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 </w:t>
            </w:r>
          </w:p>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 увеличение просроченной дебиторской задолженности в 2024 году по вновь вынесенным постановлениям на сумму 8,4 тыс.руб.</w:t>
            </w:r>
          </w:p>
        </w:tc>
      </w:tr>
      <w:tr>
        <w:tc>
          <w:tcPr>
            <w:tcW w:w="276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left"/>
              <w:outlineLvl w:val="0"/>
              <w:rPr>
                <w:b w:val="1"/>
                <w:color w:val="000000"/>
                <w:sz w:val="48"/>
              </w:rPr>
            </w:pPr>
            <w:r>
              <w:rPr>
                <w:rFonts w:ascii="Times New Roman" w:hAnsi="Times New Roman" w:cs="Times New Roman" w:eastAsia="Times New Roman"/>
                <w:b w:val="0"/>
                <w:i w:val="0"/>
                <w:color w:val="000000"/>
                <w:sz w:val="24"/>
                <w:szCs w:val="24"/>
              </w:rPr>
              <w:t>КБК 84011601092019000140</w:t>
            </w:r>
          </w:p>
          <w:p>
            <w:pPr>
              <w:spacing w:before="0" w:after="0" w:beforeAutospacing="0" w:afterAutospacing="0"/>
              <w:ind w:firstLine="0" w:left="0" w:right="0"/>
              <w:jc w:val="left"/>
              <w:outlineLvl w:val="0"/>
              <w:rPr>
                <w:b w:val="1"/>
                <w:color w:val="000000"/>
                <w:sz w:val="48"/>
              </w:rPr>
            </w:pPr>
            <w:r>
              <w:rPr>
                <w:rFonts w:ascii="Times New Roman" w:hAnsi="Times New Roman" w:cs="Times New Roman" w:eastAsia="Times New Roman"/>
                <w:b w:val="0"/>
                <w:i w:val="0"/>
                <w:color w:val="000000"/>
                <w:sz w:val="24"/>
                <w:szCs w:val="24"/>
              </w:rPr>
              <w:t>(ст. 9.23. Нарушение правил обеспечения безопасного использования и содержания внутридомового и внутриквартирного газового оборудования)</w:t>
            </w:r>
          </w:p>
          <w:p>
            <w:pPr>
              <w:spacing w:before="0" w:after="0" w:beforeAutospacing="0" w:afterAutospacing="0"/>
              <w:ind w:firstLine="0" w:left="0" w:right="0"/>
              <w:jc w:val="both"/>
              <w:rPr>
                <w:color w:val="000000"/>
              </w:rPr>
            </w:pPr>
            <w:r>
              <w:rPr>
                <w:rFonts w:ascii="Times New Roman" w:hAnsi="Times New Roman" w:cs="Times New Roman" w:eastAsia="Times New Roman"/>
                <w:b w:val="0"/>
                <w:i w:val="0"/>
                <w:color w:val="000000"/>
                <w:sz w:val="28"/>
                <w:szCs w:val="28"/>
              </w:rPr>
              <w:t> </w:t>
            </w:r>
          </w:p>
        </w:tc>
        <w:tc>
          <w:tcPr>
            <w:tcW w:w="1708"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rPr>
                <w:color w:val="000000"/>
              </w:rPr>
            </w:pPr>
            <w:r>
              <w:rPr>
                <w:rFonts w:ascii="Times New Roman" w:hAnsi="Times New Roman" w:cs="Times New Roman" w:eastAsia="Times New Roman"/>
                <w:b w:val="0"/>
                <w:i w:val="0"/>
                <w:color w:val="000000"/>
                <w:sz w:val="24"/>
                <w:szCs w:val="24"/>
              </w:rPr>
              <w:t>22</w:t>
            </w:r>
          </w:p>
        </w:tc>
        <w:tc>
          <w:tcPr>
            <w:tcW w:w="1501"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rPr>
                <w:color w:val="000000"/>
              </w:rPr>
            </w:pPr>
            <w:r>
              <w:rPr>
                <w:rFonts w:ascii="Times New Roman" w:hAnsi="Times New Roman" w:cs="Times New Roman" w:eastAsia="Times New Roman"/>
                <w:b w:val="0"/>
                <w:i w:val="0"/>
                <w:color w:val="000000"/>
                <w:sz w:val="24"/>
                <w:szCs w:val="24"/>
              </w:rPr>
              <w:t>22 000,00</w:t>
            </w:r>
          </w:p>
        </w:tc>
        <w:tc>
          <w:tcPr>
            <w:tcW w:w="2573" w:type="dxa"/>
            <w:vMerge w:val="continue"/>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ind w:left="0" w:right="0"/>
              <w:rPr>
                <w:color w:val="000000"/>
              </w:rPr>
            </w:pPr>
          </w:p>
        </w:tc>
        <w:tc>
          <w:tcPr>
            <w:tcW w:w="546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 по обращениям Министерства в рамках исполнительных производств обновлены запросы в регистрирующие органы и кредитные организации;  </w:t>
            </w:r>
          </w:p>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 службой судебных приставов проводится работа по взысканию задолженности в соответствии с законом об исполнительном производстве № 229-ФЗ от 02.10.2007г. (по направленным Министерством протоколам);</w:t>
            </w:r>
          </w:p>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 в 2024 году взысканы  просроченные штрафы на сумму 3,0 тыс. руб.</w:t>
            </w:r>
          </w:p>
        </w:tc>
      </w:tr>
      <w:tr>
        <w:tc>
          <w:tcPr>
            <w:tcW w:w="276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КБК 84011601142019002140</w:t>
            </w:r>
          </w:p>
          <w:p>
            <w:pPr>
              <w:spacing w:before="0" w:after="0" w:beforeAutospacing="0" w:afterAutospacing="0"/>
              <w:ind w:firstLine="0" w:left="0" w:right="0"/>
              <w:jc w:val="both"/>
              <w:rPr>
                <w:color w:val="000000"/>
              </w:rPr>
            </w:pPr>
            <w:r>
              <w:rPr>
                <w:rFonts w:ascii="Times New Roman" w:hAnsi="Times New Roman" w:cs="Times New Roman" w:eastAsia="Times New Roman"/>
                <w:b w:val="0"/>
                <w:i w:val="0"/>
                <w:color w:val="000000"/>
                <w:sz w:val="24"/>
                <w:szCs w:val="24"/>
              </w:rPr>
              <w:t>(ст. 14.1.3 КоАП РФ Осуществление предпринимательской деятельности по управлению многоквартирными домами без лицензии)</w:t>
            </w:r>
          </w:p>
        </w:tc>
        <w:tc>
          <w:tcPr>
            <w:tcW w:w="1708"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rPr>
                <w:color w:val="000000"/>
              </w:rPr>
            </w:pPr>
            <w:r>
              <w:rPr>
                <w:rFonts w:ascii="Times New Roman" w:hAnsi="Times New Roman" w:cs="Times New Roman" w:eastAsia="Times New Roman"/>
                <w:b w:val="0"/>
                <w:i w:val="0"/>
                <w:color w:val="000000"/>
                <w:sz w:val="24"/>
                <w:szCs w:val="24"/>
              </w:rPr>
              <w:t>24</w:t>
            </w:r>
          </w:p>
        </w:tc>
        <w:tc>
          <w:tcPr>
            <w:tcW w:w="1501"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rPr>
                <w:color w:val="000000"/>
              </w:rPr>
            </w:pPr>
            <w:r>
              <w:rPr>
                <w:rFonts w:ascii="Times New Roman" w:hAnsi="Times New Roman" w:cs="Times New Roman" w:eastAsia="Times New Roman"/>
                <w:b w:val="0"/>
                <w:i w:val="0"/>
                <w:color w:val="000000"/>
                <w:sz w:val="24"/>
                <w:szCs w:val="24"/>
              </w:rPr>
              <w:t>5 662 083,20</w:t>
            </w:r>
          </w:p>
          <w:p>
            <w:pPr>
              <w:spacing w:before="0" w:after="0" w:beforeAutospacing="0" w:afterAutospacing="0"/>
              <w:ind w:firstLine="0" w:left="0" w:right="0"/>
              <w:jc w:val="both"/>
              <w:rPr>
                <w:color w:val="000000"/>
              </w:rPr>
            </w:pPr>
            <w:r>
              <w:rPr>
                <w:rFonts w:ascii="Times New Roman" w:hAnsi="Times New Roman" w:cs="Times New Roman" w:eastAsia="Times New Roman"/>
                <w:b w:val="0"/>
                <w:i w:val="0"/>
                <w:color w:val="FF0000"/>
                <w:sz w:val="24"/>
                <w:szCs w:val="24"/>
              </w:rPr>
              <w:t> </w:t>
            </w:r>
          </w:p>
        </w:tc>
        <w:tc>
          <w:tcPr>
            <w:tcW w:w="2573" w:type="dxa"/>
            <w:vMerge w:val="continue"/>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ind w:left="0" w:right="0"/>
              <w:rPr>
                <w:color w:val="000000"/>
              </w:rPr>
            </w:pPr>
          </w:p>
        </w:tc>
        <w:tc>
          <w:tcPr>
            <w:tcW w:w="546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w:t>
            </w:r>
            <w:r>
              <w:rPr>
                <w:rFonts w:ascii="Times New Roman" w:hAnsi="Times New Roman" w:cs="Times New Roman" w:eastAsia="Times New Roman"/>
                <w:b w:val="0"/>
                <w:i w:val="0"/>
                <w:color w:val="FF0000"/>
                <w:sz w:val="24"/>
                <w:szCs w:val="24"/>
              </w:rPr>
              <w:t xml:space="preserve"> </w:t>
            </w:r>
            <w:r>
              <w:rPr>
                <w:rFonts w:ascii="Times New Roman" w:hAnsi="Times New Roman" w:cs="Times New Roman" w:eastAsia="Times New Roman"/>
                <w:b w:val="0"/>
                <w:i w:val="0"/>
                <w:color w:val="000000"/>
                <w:sz w:val="24"/>
                <w:szCs w:val="24"/>
              </w:rPr>
              <w:t>составлены протоколы по ст. 20.25 КоАП РФ и  направлены судебным приставам;</w:t>
            </w:r>
          </w:p>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 Министерством проводится работа по контролю за ходом исполнительных производств, направляются запросы в отделы УФССП по Пензенской области;</w:t>
            </w:r>
          </w:p>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 вынесенные Министерством постановления обжалуются в судах;</w:t>
            </w:r>
          </w:p>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 по обращениям Министерства в рамках исполнительных производств обновлены запросы в регистрирующие органы и кредитные организации;  </w:t>
            </w:r>
          </w:p>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 xml:space="preserve">- двум должникам вынесены постановления о временном  ограничении на выезд из РФ; </w:t>
            </w:r>
          </w:p>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 сформированы сводные исполнительные производства;</w:t>
            </w:r>
          </w:p>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 дваисполнительных производства по двум должникам приостановлены, в связи с участием их в СВО;</w:t>
            </w:r>
          </w:p>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 службой судебных приставов проводится работа по взысканию задолженности в соответствии с законом об исполнительном производстве № 229-ФЗ от 02.10.2007г. (по направленным Министерством протоколам);</w:t>
            </w:r>
          </w:p>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 в 2024 году взысканы  просроченные штрафы на сумму 416,6 тыс. руб.;</w:t>
            </w:r>
          </w:p>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 xml:space="preserve">- в 2024 году списана дебиторская задолженность </w:t>
            </w:r>
          </w:p>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 муниципальных учреждений, образовавшаяся по состоянию на 01.07.2022, (МУП ЖКХ "Завиваловское"в сумме 49,1 тыс.руб. в соответствии с положениями частей 22-24 статьи 6 Закона №520-ФЗ "О внесении изменений в статьи 96 и 220 Бюджетного кодекса Российской Федерации и об установлении особенностей исполнения бюджетов бюджетной системы Российской Федерации в 2024 году";</w:t>
            </w:r>
          </w:p>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 в 2024 году просроченная дебиторская задолженность( ООО "ЖЭК №1") в сумме 250,0 тыс.руб. признана сомнительной  и списана с баланса (исполнительное производство окончено 20.04.2023, в отношении должника возбуждено производство по делу о несостоятельности (банкротстве)), задолженность отражена на забалансовом счете 04;</w:t>
            </w:r>
          </w:p>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 увеличение просроченной дебиторской задолженности в 2024 году по вновь вынесенным постановлениям на сумму 1 982,1 тыс.руб. (387,5 тыс.руб. по постановлениям 2023 года, 1594,6 тыс.руб. - по постановлениям 2024 года).</w:t>
            </w:r>
          </w:p>
        </w:tc>
      </w:tr>
      <w:tr>
        <w:tc>
          <w:tcPr>
            <w:tcW w:w="276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left"/>
              <w:outlineLvl w:val="0"/>
              <w:rPr>
                <w:b w:val="1"/>
                <w:color w:val="000000"/>
                <w:sz w:val="48"/>
              </w:rPr>
            </w:pPr>
            <w:r>
              <w:rPr>
                <w:rFonts w:ascii="Times New Roman" w:hAnsi="Times New Roman" w:cs="Times New Roman" w:eastAsia="Times New Roman"/>
                <w:b w:val="0"/>
                <w:i w:val="0"/>
                <w:color w:val="FF0000"/>
                <w:sz w:val="28"/>
                <w:szCs w:val="28"/>
              </w:rPr>
              <w:t> </w:t>
            </w:r>
            <w:r>
              <w:rPr>
                <w:rFonts w:ascii="Times New Roman" w:hAnsi="Times New Roman" w:cs="Times New Roman" w:eastAsia="Times New Roman"/>
                <w:b w:val="0"/>
                <w:i w:val="0"/>
                <w:color w:val="000000"/>
                <w:sz w:val="24"/>
                <w:szCs w:val="24"/>
              </w:rPr>
              <w:t>КБК 84002010020000140</w:t>
            </w:r>
          </w:p>
          <w:p>
            <w:pPr>
              <w:spacing w:before="0" w:after="0" w:beforeAutospacing="0" w:afterAutospacing="0"/>
              <w:ind w:firstLine="0" w:left="0" w:right="0"/>
              <w:jc w:val="left"/>
              <w:outlineLvl w:val="0"/>
              <w:rPr>
                <w:b w:val="1"/>
                <w:color w:val="000000"/>
                <w:sz w:val="48"/>
              </w:rPr>
            </w:pPr>
            <w:r>
              <w:rPr>
                <w:rFonts w:ascii="Times New Roman" w:hAnsi="Times New Roman" w:cs="Times New Roman" w:eastAsia="Times New Roman"/>
                <w:b w:val="0"/>
                <w:i w:val="0"/>
                <w:color w:val="000000"/>
                <w:sz w:val="24"/>
                <w:szCs w:val="24"/>
              </w:rPr>
              <w:t>(ст. 5.1.1 Кодекса Пензенской области об административных правонарушениях.</w:t>
            </w:r>
          </w:p>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Торговля в неустановленных местах)</w:t>
            </w:r>
          </w:p>
        </w:tc>
        <w:tc>
          <w:tcPr>
            <w:tcW w:w="1708"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rPr>
                <w:color w:val="000000"/>
              </w:rPr>
            </w:pPr>
            <w:r>
              <w:rPr>
                <w:rFonts w:ascii="Times New Roman" w:hAnsi="Times New Roman" w:cs="Times New Roman" w:eastAsia="Times New Roman"/>
                <w:b w:val="0"/>
                <w:i w:val="0"/>
                <w:color w:val="000000"/>
                <w:sz w:val="24"/>
                <w:szCs w:val="24"/>
              </w:rPr>
              <w:t>164</w:t>
            </w:r>
          </w:p>
        </w:tc>
        <w:tc>
          <w:tcPr>
            <w:tcW w:w="1501"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rPr>
                <w:color w:val="000000"/>
              </w:rPr>
            </w:pPr>
            <w:r>
              <w:rPr>
                <w:rFonts w:ascii="Times New Roman" w:hAnsi="Times New Roman" w:cs="Times New Roman" w:eastAsia="Times New Roman"/>
                <w:b w:val="0"/>
                <w:i w:val="0"/>
                <w:color w:val="000000"/>
                <w:sz w:val="24"/>
                <w:szCs w:val="24"/>
              </w:rPr>
              <w:t>858 494,55</w:t>
            </w:r>
          </w:p>
        </w:tc>
        <w:tc>
          <w:tcPr>
            <w:tcW w:w="2573"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Не оплата в срок по вынесенным постановлениям административных комиссий районов г. Пензы  </w:t>
            </w:r>
          </w:p>
        </w:tc>
        <w:tc>
          <w:tcPr>
            <w:tcW w:w="546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left"/>
              <w:rPr>
                <w:color w:val="000000"/>
              </w:rPr>
            </w:pPr>
            <w:r>
              <w:rPr>
                <w:rFonts w:ascii="Times New Roman" w:hAnsi="Times New Roman" w:cs="Times New Roman" w:eastAsia="Times New Roman"/>
                <w:b w:val="0"/>
                <w:i w:val="0"/>
                <w:color w:val="000000"/>
                <w:sz w:val="24"/>
                <w:szCs w:val="24"/>
              </w:rPr>
              <w:t>Т.к. данные штрафы выносятся по протоколам, составленными административными комиссиями районов г. Пензы, все меры по уменьшению задолженности принимаются административными комиссиями районов.</w:t>
            </w:r>
          </w:p>
          <w:p>
            <w:pPr>
              <w:spacing w:before="0" w:after="0" w:beforeAutospacing="0" w:afterAutospacing="0"/>
              <w:ind w:firstLine="0" w:left="0" w:right="0"/>
              <w:jc w:val="both"/>
              <w:rPr>
                <w:color w:val="000000"/>
              </w:rPr>
            </w:pPr>
            <w:r>
              <w:rPr>
                <w:rFonts w:ascii="Times New Roman" w:hAnsi="Times New Roman" w:cs="Times New Roman" w:eastAsia="Times New Roman"/>
                <w:b w:val="0"/>
                <w:i w:val="0"/>
                <w:color w:val="FF0000"/>
                <w:sz w:val="28"/>
                <w:szCs w:val="28"/>
              </w:rPr>
              <w:t> </w:t>
            </w:r>
          </w:p>
        </w:tc>
      </w:tr>
      <w:tr>
        <w:tc>
          <w:tcPr>
            <w:tcW w:w="276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rPr>
                <w:color w:val="000000"/>
              </w:rPr>
            </w:pPr>
            <w:r>
              <w:rPr>
                <w:rFonts w:ascii="Times New Roman" w:hAnsi="Times New Roman" w:cs="Times New Roman" w:eastAsia="Times New Roman"/>
                <w:b w:val="0"/>
                <w:i w:val="0"/>
                <w:color w:val="FF0000"/>
                <w:sz w:val="28"/>
                <w:szCs w:val="28"/>
              </w:rPr>
              <w:t> </w:t>
            </w:r>
          </w:p>
        </w:tc>
        <w:tc>
          <w:tcPr>
            <w:tcW w:w="1708"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rPr>
                <w:color w:val="000000"/>
              </w:rPr>
            </w:pPr>
            <w:r>
              <w:rPr>
                <w:rFonts w:ascii="Times New Roman" w:hAnsi="Times New Roman" w:cs="Times New Roman" w:eastAsia="Times New Roman"/>
                <w:b w:val="0"/>
                <w:i w:val="0"/>
                <w:color w:val="FF0000"/>
                <w:sz w:val="24"/>
                <w:szCs w:val="24"/>
              </w:rPr>
              <w:t> </w:t>
            </w:r>
          </w:p>
        </w:tc>
        <w:tc>
          <w:tcPr>
            <w:tcW w:w="1501"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rPr>
                <w:color w:val="000000"/>
              </w:rPr>
            </w:pPr>
            <w:r>
              <w:rPr>
                <w:rFonts w:ascii="Times New Roman" w:hAnsi="Times New Roman" w:cs="Times New Roman" w:eastAsia="Times New Roman"/>
                <w:b w:val="1"/>
                <w:i w:val="0"/>
                <w:color w:val="000000"/>
                <w:sz w:val="24"/>
                <w:szCs w:val="24"/>
              </w:rPr>
              <w:t>6 844 838,97</w:t>
            </w:r>
          </w:p>
        </w:tc>
        <w:tc>
          <w:tcPr>
            <w:tcW w:w="2573"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rPr>
                <w:color w:val="000000"/>
              </w:rPr>
            </w:pPr>
            <w:r>
              <w:rPr>
                <w:rFonts w:ascii="Times New Roman" w:hAnsi="Times New Roman" w:cs="Times New Roman" w:eastAsia="Times New Roman"/>
                <w:b w:val="0"/>
                <w:i w:val="0"/>
                <w:color w:val="FF0000"/>
                <w:sz w:val="28"/>
                <w:szCs w:val="28"/>
              </w:rPr>
              <w:t> </w:t>
            </w:r>
          </w:p>
        </w:tc>
        <w:tc>
          <w:tcPr>
            <w:tcW w:w="546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rPr>
                <w:color w:val="000000"/>
              </w:rPr>
            </w:pPr>
            <w:r>
              <w:rPr>
                <w:rFonts w:ascii="Times New Roman" w:hAnsi="Times New Roman" w:cs="Times New Roman" w:eastAsia="Times New Roman"/>
                <w:b w:val="0"/>
                <w:i w:val="0"/>
                <w:color w:val="FF0000"/>
                <w:sz w:val="28"/>
                <w:szCs w:val="28"/>
              </w:rPr>
              <w:t> </w:t>
            </w:r>
          </w:p>
        </w:tc>
      </w:tr>
    </w:tbl>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0"/>
          <w:i w:val="0"/>
          <w:color w:val="000000"/>
          <w:sz w:val="24"/>
          <w:szCs w:val="24"/>
        </w:rPr>
        <w:t> </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0"/>
          <w:i w:val="0"/>
          <w:color w:val="000000"/>
          <w:sz w:val="28"/>
          <w:szCs w:val="28"/>
        </w:rPr>
        <w:t> - по статье 211: дебиторская задолженность уволенного сотрудника за использованный отпуск составила 46 444,58 руб.;</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0"/>
          <w:i w:val="0"/>
          <w:color w:val="000000"/>
          <w:sz w:val="28"/>
          <w:szCs w:val="28"/>
        </w:rPr>
        <w:t>- по статье 221: дебиторская задолженность подотчетного лица по выданным конвертам, почтовым маркам составила 86 177,50 руб.;</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0"/>
          <w:i w:val="0"/>
          <w:color w:val="000000"/>
          <w:sz w:val="28"/>
          <w:szCs w:val="28"/>
        </w:rPr>
        <w:t>- 2 145,00 (штраф за нарушение условий гос. контракта ЕП54/2024 от 04.09.2024г., составлена и направлена претензия в адрес ООО "Русимпорт");</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0"/>
          <w:i w:val="0"/>
          <w:color w:val="000000"/>
          <w:sz w:val="28"/>
          <w:szCs w:val="28"/>
        </w:rPr>
        <w:t>- дебиторская задолженность поставщика ООО "Русимпорт" в сумме 21 450,00 руб. (Министерством был заключен гос. контракт ЕП54/2024 от 04.09.2024г., произведена оплата аванса в сумме 21 450,00 руб. Поставщик товар не поставил. Министерством была составлена претензия в адрес поставщика с просьбой вернуть денежные средства и оплатить штраф за нарушение условий контракта);</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0"/>
          <w:i w:val="0"/>
          <w:color w:val="000000"/>
          <w:sz w:val="28"/>
          <w:szCs w:val="28"/>
        </w:rPr>
        <w:t>- дебиторская задолженность ПАО "Ростелеком" за услуги связи в сумме 232,50 руб.;</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0"/>
          <w:i w:val="0"/>
          <w:color w:val="000000"/>
          <w:sz w:val="28"/>
          <w:szCs w:val="28"/>
        </w:rPr>
        <w:t>- по статье 246: имущественный взнос Пензенской области в «Региональный фонд капитального ремонта многоквартирных домов Пензенской области» составила 29 245,92 руб.;</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0"/>
          <w:i w:val="0"/>
          <w:color w:val="000000"/>
          <w:sz w:val="24"/>
          <w:szCs w:val="24"/>
        </w:rPr>
        <w:t> </w:t>
      </w:r>
      <w:r>
        <w:rPr>
          <w:rFonts w:ascii="Times New Roman" w:hAnsi="Times New Roman" w:cs="Times New Roman" w:eastAsia="Times New Roman"/>
          <w:b w:val="0"/>
          <w:i w:val="0"/>
          <w:color w:val="000000"/>
          <w:sz w:val="28"/>
          <w:szCs w:val="28"/>
        </w:rPr>
        <w:t>- по статье 291: дебиторская задолженность по налогу на имущество 37,00 руб.</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0"/>
          <w:i w:val="0"/>
          <w:color w:val="000000"/>
          <w:sz w:val="24"/>
          <w:szCs w:val="24"/>
        </w:rPr>
        <w:t> </w:t>
      </w:r>
    </w:p>
    <w:p>
      <w:pPr>
        <w:spacing w:before="0" w:after="0" w:beforeAutospacing="0" w:afterAutospacing="0"/>
        <w:ind w:firstLine="0" w:left="0" w:right="0"/>
        <w:jc w:val="left"/>
        <w:outlineLvl w:val="9"/>
        <w:rPr>
          <w:color w:val="000000"/>
        </w:rPr>
      </w:pPr>
      <w:r>
        <w:rPr>
          <w:rFonts w:ascii="Times New Roman" w:hAnsi="Times New Roman" w:cs="Times New Roman" w:eastAsia="Times New Roman"/>
          <w:b w:val="0"/>
          <w:i w:val="0"/>
          <w:color w:val="000000"/>
          <w:sz w:val="24"/>
          <w:szCs w:val="24"/>
        </w:rPr>
        <w:t> </w:t>
      </w:r>
      <w:r>
        <w:rPr>
          <w:rFonts w:ascii="Times New Roman" w:hAnsi="Times New Roman" w:cs="Times New Roman" w:eastAsia="Times New Roman"/>
          <w:b w:val="1"/>
          <w:i w:val="0"/>
          <w:color w:val="000000"/>
          <w:sz w:val="28"/>
          <w:szCs w:val="28"/>
        </w:rPr>
        <w:t>Сведения о показателях отчетности по сегментам</w:t>
      </w:r>
    </w:p>
    <w:p>
      <w:pPr>
        <w:spacing w:before="0" w:after="0" w:beforeAutospacing="0" w:afterAutospacing="0"/>
        <w:ind w:firstLine="700" w:left="0" w:right="0"/>
        <w:jc w:val="center"/>
        <w:outlineLvl w:val="9"/>
        <w:rPr>
          <w:color w:val="000000"/>
        </w:rPr>
      </w:pPr>
      <w:r>
        <w:rPr>
          <w:rFonts w:ascii="Times New Roman" w:hAnsi="Times New Roman" w:cs="Times New Roman" w:eastAsia="Times New Roman"/>
          <w:b w:val="1"/>
          <w:i w:val="0"/>
          <w:color w:val="000000"/>
          <w:sz w:val="28"/>
          <w:szCs w:val="28"/>
        </w:rPr>
        <w:t> </w:t>
      </w:r>
    </w:p>
    <w:p>
      <w:pPr>
        <w:spacing w:before="0" w:after="0" w:beforeAutospacing="0" w:afterAutospacing="0"/>
        <w:ind w:firstLine="700" w:left="0" w:right="0"/>
        <w:jc w:val="center"/>
        <w:outlineLvl w:val="9"/>
        <w:rPr>
          <w:color w:val="000000"/>
        </w:rPr>
      </w:pPr>
      <w:r>
        <w:rPr>
          <w:rFonts w:ascii="Times New Roman" w:hAnsi="Times New Roman" w:cs="Times New Roman" w:eastAsia="Times New Roman"/>
          <w:b w:val="1"/>
          <w:i w:val="0"/>
          <w:color w:val="000000"/>
          <w:sz w:val="26"/>
          <w:szCs w:val="26"/>
        </w:rPr>
        <w:t xml:space="preserve">Расшифровка показателей бухгалтерской отчетности по сегментам </w:t>
      </w:r>
    </w:p>
    <w:p>
      <w:pPr>
        <w:spacing w:before="0" w:after="0" w:beforeAutospacing="0" w:afterAutospacing="0"/>
        <w:ind w:firstLine="700" w:left="0" w:right="0"/>
        <w:jc w:val="center"/>
        <w:outlineLvl w:val="9"/>
        <w:rPr>
          <w:color w:val="000000"/>
        </w:rPr>
      </w:pPr>
      <w:r>
        <w:rPr>
          <w:rFonts w:ascii="Times New Roman" w:hAnsi="Times New Roman" w:cs="Times New Roman" w:eastAsia="Times New Roman"/>
          <w:b w:val="1"/>
          <w:i w:val="0"/>
          <w:color w:val="000000"/>
          <w:sz w:val="26"/>
          <w:szCs w:val="26"/>
        </w:rPr>
        <w:t>в отношении дебиторской задолженности</w:t>
      </w:r>
    </w:p>
    <w:tbl>
      <w:tblPr>
        <w:tblW w:w="13245" w:type="dxa"/>
        <w:tblInd w:w="108" w:type="dxa"/>
        <w:tblBorders>
          <w:top w:val="none" w:sz="0" w:space="0" w:shadow="0" w:frame="0" w:color="000000"/>
          <w:left w:val="none" w:sz="0" w:space="0" w:shadow="0" w:frame="0" w:color="000000"/>
          <w:bottom w:val="none" w:sz="0" w:space="0" w:shadow="0" w:frame="0" w:color="000000"/>
          <w:right w:val="none" w:sz="0" w:space="0" w:shadow="0" w:frame="0" w:color="000000"/>
          <w:insideH w:val="none" w:sz="0" w:space="0" w:shadow="0" w:frame="0" w:color="auto"/>
          <w:insideV w:val="none" w:sz="0" w:space="0" w:shadow="0" w:frame="0" w:color="auto"/>
        </w:tblBorders>
        <w:tblLayout w:type="autofit"/>
        <w:tblCellMar>
          <w:top w:w="0" w:type="dxa"/>
          <w:left w:w="0" w:type="dxa"/>
          <w:bottom w:w="0" w:type="dxa"/>
          <w:right w:w="0" w:type="dxa"/>
        </w:tblCellMar>
      </w:tblPr>
      <w:tblGrid/>
      <w:tr>
        <w:tc>
          <w:tcPr>
            <w:tcW w:w="1877"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1"/>
                <w:i w:val="0"/>
                <w:color w:val="000000"/>
                <w:sz w:val="24"/>
                <w:szCs w:val="24"/>
              </w:rPr>
              <w:t>Счет бухгалтерского учета</w:t>
            </w:r>
          </w:p>
          <w:p>
            <w:pPr>
              <w:spacing w:before="0" w:after="0" w:beforeAutospacing="0" w:afterAutospacing="0"/>
              <w:ind w:firstLine="0" w:left="0" w:right="0"/>
              <w:jc w:val="center"/>
              <w:rPr>
                <w:color w:val="000000"/>
              </w:rPr>
            </w:pPr>
            <w:r>
              <w:rPr>
                <w:rFonts w:ascii="Times New Roman" w:hAnsi="Times New Roman" w:cs="Times New Roman" w:eastAsia="Times New Roman"/>
                <w:b w:val="1"/>
                <w:i w:val="0"/>
                <w:color w:val="000000"/>
                <w:sz w:val="24"/>
                <w:szCs w:val="24"/>
              </w:rPr>
              <w:t> </w:t>
            </w:r>
          </w:p>
        </w:tc>
        <w:tc>
          <w:tcPr>
            <w:tcW w:w="2138"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1"/>
                <w:i w:val="0"/>
                <w:color w:val="000000"/>
                <w:sz w:val="24"/>
                <w:szCs w:val="24"/>
              </w:rPr>
              <w:t>Показатель задолженности на отчетную дату всего, руб.</w:t>
            </w:r>
          </w:p>
        </w:tc>
        <w:tc>
          <w:tcPr>
            <w:tcW w:w="2005"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1"/>
                <w:i w:val="0"/>
                <w:color w:val="000000"/>
                <w:sz w:val="24"/>
                <w:szCs w:val="24"/>
              </w:rPr>
              <w:t>В том числе по сегменту 1, руб.</w:t>
            </w:r>
          </w:p>
        </w:tc>
        <w:tc>
          <w:tcPr>
            <w:tcW w:w="1737"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1"/>
                <w:i w:val="0"/>
                <w:color w:val="000000"/>
                <w:sz w:val="24"/>
                <w:szCs w:val="24"/>
              </w:rPr>
              <w:t>В том числе по сегменту 2, руб.</w:t>
            </w:r>
          </w:p>
        </w:tc>
        <w:tc>
          <w:tcPr>
            <w:tcW w:w="1568"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1"/>
                <w:i w:val="0"/>
                <w:color w:val="000000"/>
                <w:sz w:val="24"/>
                <w:szCs w:val="24"/>
              </w:rPr>
              <w:t>В том числе по сегменту 3, руб.</w:t>
            </w:r>
          </w:p>
        </w:tc>
        <w:tc>
          <w:tcPr>
            <w:tcW w:w="2041"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1"/>
                <w:i w:val="0"/>
                <w:color w:val="000000"/>
                <w:sz w:val="24"/>
                <w:szCs w:val="24"/>
              </w:rPr>
              <w:t>Итого по сегментам 1, 2 и 3, руб.</w:t>
            </w:r>
          </w:p>
        </w:tc>
        <w:tc>
          <w:tcPr>
            <w:tcW w:w="1872"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1"/>
                <w:i w:val="0"/>
                <w:color w:val="000000"/>
                <w:sz w:val="24"/>
                <w:szCs w:val="24"/>
              </w:rPr>
              <w:t>% задолженности по сегментам 1,2 и 3 от общей суммы задолженности</w:t>
            </w:r>
          </w:p>
        </w:tc>
      </w:tr>
      <w:tr>
        <w:trPr>
          <w:trHeight w:hRule="atLeast" w:val="325"/>
        </w:trPr>
        <w:tc>
          <w:tcPr>
            <w:tcW w:w="1877"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1"/>
                <w:i w:val="0"/>
                <w:color w:val="000000"/>
                <w:sz w:val="24"/>
                <w:szCs w:val="24"/>
              </w:rPr>
              <w:t>205 00 000</w:t>
            </w:r>
          </w:p>
        </w:tc>
        <w:tc>
          <w:tcPr>
            <w:tcW w:w="2138"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2 508 707 617,45</w:t>
            </w:r>
          </w:p>
        </w:tc>
        <w:tc>
          <w:tcPr>
            <w:tcW w:w="2005"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2 508 707 617,45</w:t>
            </w:r>
          </w:p>
        </w:tc>
        <w:tc>
          <w:tcPr>
            <w:tcW w:w="1737"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0</w:t>
            </w:r>
          </w:p>
        </w:tc>
        <w:tc>
          <w:tcPr>
            <w:tcW w:w="1568"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0</w:t>
            </w:r>
          </w:p>
        </w:tc>
        <w:tc>
          <w:tcPr>
            <w:tcW w:w="2041"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2 508 707 617,45</w:t>
            </w:r>
          </w:p>
        </w:tc>
        <w:tc>
          <w:tcPr>
            <w:tcW w:w="1872"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100</w:t>
            </w:r>
          </w:p>
        </w:tc>
      </w:tr>
      <w:tr>
        <w:trPr>
          <w:trHeight w:hRule="atLeast" w:val="370"/>
        </w:trPr>
        <w:tc>
          <w:tcPr>
            <w:tcW w:w="1877"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1"/>
                <w:i w:val="0"/>
                <w:color w:val="000000"/>
                <w:sz w:val="24"/>
                <w:szCs w:val="24"/>
              </w:rPr>
              <w:t>206 00 000</w:t>
            </w:r>
          </w:p>
        </w:tc>
        <w:tc>
          <w:tcPr>
            <w:tcW w:w="2138"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29 245,92</w:t>
            </w:r>
          </w:p>
        </w:tc>
        <w:tc>
          <w:tcPr>
            <w:tcW w:w="2005"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29 245,92</w:t>
            </w:r>
          </w:p>
        </w:tc>
        <w:tc>
          <w:tcPr>
            <w:tcW w:w="1737"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0</w:t>
            </w:r>
          </w:p>
        </w:tc>
        <w:tc>
          <w:tcPr>
            <w:tcW w:w="1568"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0</w:t>
            </w:r>
          </w:p>
        </w:tc>
        <w:tc>
          <w:tcPr>
            <w:tcW w:w="2041"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29 245,92</w:t>
            </w:r>
          </w:p>
        </w:tc>
        <w:tc>
          <w:tcPr>
            <w:tcW w:w="1872"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100</w:t>
            </w:r>
          </w:p>
        </w:tc>
      </w:tr>
      <w:tr>
        <w:trPr>
          <w:trHeight w:hRule="atLeast" w:val="355"/>
        </w:trPr>
        <w:tc>
          <w:tcPr>
            <w:tcW w:w="1877"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1"/>
                <w:i w:val="0"/>
                <w:color w:val="000000"/>
                <w:sz w:val="24"/>
                <w:szCs w:val="24"/>
              </w:rPr>
              <w:t>208 00 000</w:t>
            </w:r>
          </w:p>
        </w:tc>
        <w:tc>
          <w:tcPr>
            <w:tcW w:w="2138"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86 177,50</w:t>
            </w:r>
          </w:p>
        </w:tc>
        <w:tc>
          <w:tcPr>
            <w:tcW w:w="2005"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86 177,50</w:t>
            </w:r>
          </w:p>
        </w:tc>
        <w:tc>
          <w:tcPr>
            <w:tcW w:w="1737"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0</w:t>
            </w:r>
          </w:p>
        </w:tc>
        <w:tc>
          <w:tcPr>
            <w:tcW w:w="1568"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0</w:t>
            </w:r>
          </w:p>
        </w:tc>
        <w:tc>
          <w:tcPr>
            <w:tcW w:w="2041"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86 177,50</w:t>
            </w:r>
          </w:p>
        </w:tc>
        <w:tc>
          <w:tcPr>
            <w:tcW w:w="1872"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100</w:t>
            </w:r>
          </w:p>
        </w:tc>
      </w:tr>
      <w:tr>
        <w:trPr>
          <w:trHeight w:hRule="atLeast" w:val="310"/>
        </w:trPr>
        <w:tc>
          <w:tcPr>
            <w:tcW w:w="1877"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1"/>
                <w:i w:val="0"/>
                <w:color w:val="000000"/>
                <w:sz w:val="24"/>
                <w:szCs w:val="24"/>
              </w:rPr>
              <w:t>209 00 000</w:t>
            </w:r>
          </w:p>
        </w:tc>
        <w:tc>
          <w:tcPr>
            <w:tcW w:w="2138"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70 272,08</w:t>
            </w:r>
          </w:p>
        </w:tc>
        <w:tc>
          <w:tcPr>
            <w:tcW w:w="2005"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70 272,08</w:t>
            </w:r>
          </w:p>
        </w:tc>
        <w:tc>
          <w:tcPr>
            <w:tcW w:w="1737"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0</w:t>
            </w:r>
          </w:p>
        </w:tc>
        <w:tc>
          <w:tcPr>
            <w:tcW w:w="1568"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0</w:t>
            </w:r>
          </w:p>
        </w:tc>
        <w:tc>
          <w:tcPr>
            <w:tcW w:w="2041"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70 272,08</w:t>
            </w:r>
          </w:p>
        </w:tc>
        <w:tc>
          <w:tcPr>
            <w:tcW w:w="1872"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100</w:t>
            </w:r>
          </w:p>
        </w:tc>
      </w:tr>
      <w:tr>
        <w:trPr>
          <w:trHeight w:hRule="atLeast" w:val="310"/>
        </w:trPr>
        <w:tc>
          <w:tcPr>
            <w:tcW w:w="1877"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1"/>
                <w:i w:val="0"/>
                <w:color w:val="000000"/>
                <w:sz w:val="24"/>
                <w:szCs w:val="24"/>
              </w:rPr>
              <w:t>303 00 000</w:t>
            </w:r>
          </w:p>
        </w:tc>
        <w:tc>
          <w:tcPr>
            <w:tcW w:w="2138"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1"/>
                <w:i w:val="0"/>
                <w:color w:val="000000"/>
                <w:sz w:val="24"/>
                <w:szCs w:val="24"/>
              </w:rPr>
              <w:t>37,00</w:t>
            </w:r>
          </w:p>
        </w:tc>
        <w:tc>
          <w:tcPr>
            <w:tcW w:w="2005"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1"/>
                <w:i w:val="0"/>
                <w:color w:val="000000"/>
                <w:sz w:val="24"/>
                <w:szCs w:val="24"/>
              </w:rPr>
              <w:t>37,00</w:t>
            </w:r>
          </w:p>
        </w:tc>
        <w:tc>
          <w:tcPr>
            <w:tcW w:w="1737"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1"/>
                <w:i w:val="0"/>
                <w:color w:val="000000"/>
                <w:sz w:val="24"/>
                <w:szCs w:val="24"/>
              </w:rPr>
              <w:t>0</w:t>
            </w:r>
          </w:p>
        </w:tc>
        <w:tc>
          <w:tcPr>
            <w:tcW w:w="1568"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1"/>
                <w:i w:val="0"/>
                <w:color w:val="000000"/>
                <w:sz w:val="24"/>
                <w:szCs w:val="24"/>
              </w:rPr>
              <w:t>0</w:t>
            </w:r>
          </w:p>
        </w:tc>
        <w:tc>
          <w:tcPr>
            <w:tcW w:w="2041"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1"/>
                <w:i w:val="0"/>
                <w:color w:val="000000"/>
                <w:sz w:val="24"/>
                <w:szCs w:val="24"/>
              </w:rPr>
              <w:t>37,00</w:t>
            </w:r>
          </w:p>
        </w:tc>
        <w:tc>
          <w:tcPr>
            <w:tcW w:w="1872"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100</w:t>
            </w:r>
          </w:p>
        </w:tc>
      </w:tr>
      <w:tr>
        <w:trPr>
          <w:trHeight w:hRule="atLeast" w:val="310"/>
        </w:trPr>
        <w:tc>
          <w:tcPr>
            <w:tcW w:w="1877"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1"/>
                <w:i w:val="0"/>
                <w:color w:val="000000"/>
                <w:sz w:val="24"/>
                <w:szCs w:val="24"/>
              </w:rPr>
              <w:t>Итого</w:t>
            </w:r>
          </w:p>
        </w:tc>
        <w:tc>
          <w:tcPr>
            <w:tcW w:w="2138"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1"/>
                <w:i w:val="0"/>
                <w:color w:val="000000"/>
                <w:sz w:val="24"/>
                <w:szCs w:val="24"/>
              </w:rPr>
              <w:t>2 508 893 349,95</w:t>
            </w:r>
          </w:p>
        </w:tc>
        <w:tc>
          <w:tcPr>
            <w:tcW w:w="2005"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1"/>
                <w:i w:val="0"/>
                <w:color w:val="000000"/>
                <w:sz w:val="24"/>
                <w:szCs w:val="24"/>
              </w:rPr>
              <w:t>2 508 893 349,95</w:t>
            </w:r>
          </w:p>
        </w:tc>
        <w:tc>
          <w:tcPr>
            <w:tcW w:w="1737"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1"/>
                <w:i w:val="0"/>
                <w:color w:val="000000"/>
                <w:sz w:val="24"/>
                <w:szCs w:val="24"/>
              </w:rPr>
              <w:t> </w:t>
            </w:r>
          </w:p>
        </w:tc>
        <w:tc>
          <w:tcPr>
            <w:tcW w:w="1568"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1"/>
                <w:i w:val="0"/>
                <w:color w:val="000000"/>
                <w:sz w:val="24"/>
                <w:szCs w:val="24"/>
              </w:rPr>
              <w:t> </w:t>
            </w:r>
          </w:p>
        </w:tc>
        <w:tc>
          <w:tcPr>
            <w:tcW w:w="2041"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1"/>
                <w:i w:val="0"/>
                <w:color w:val="000000"/>
                <w:sz w:val="24"/>
                <w:szCs w:val="24"/>
              </w:rPr>
              <w:t>2 508 893 349,95</w:t>
            </w:r>
          </w:p>
        </w:tc>
        <w:tc>
          <w:tcPr>
            <w:tcW w:w="1872"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 </w:t>
            </w:r>
          </w:p>
        </w:tc>
      </w:tr>
    </w:tbl>
    <w:p>
      <w:pPr>
        <w:spacing w:before="0" w:after="0" w:beforeAutospacing="0" w:afterAutospacing="0"/>
        <w:ind w:firstLine="540" w:left="0" w:right="0"/>
        <w:jc w:val="center"/>
        <w:outlineLvl w:val="9"/>
        <w:rPr>
          <w:color w:val="000000"/>
        </w:rPr>
      </w:pPr>
      <w:r>
        <w:rPr>
          <w:rFonts w:ascii="Times New Roman" w:hAnsi="Times New Roman" w:cs="Times New Roman" w:eastAsia="Times New Roman"/>
          <w:b w:val="0"/>
          <w:i w:val="0"/>
          <w:color w:val="000000"/>
          <w:sz w:val="28"/>
          <w:szCs w:val="28"/>
        </w:rPr>
        <w:t> </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Кредиторская задолженность на 01.01.2025г. по Министерству составила 25 000,00 руб. (административный штраф ЖСК "Березка" был оплачен 27.12.2024  по неверному КБК 8401160119201005140, вместо 84011601193010401140, в январе 2025 года данный штраф уточнен на правильный КБК). </w:t>
      </w:r>
      <w:r>
        <w:rPr>
          <w:rFonts w:ascii="Times New Roman" w:hAnsi="Times New Roman" w:cs="Times New Roman" w:eastAsia="Times New Roman"/>
          <w:b w:val="0"/>
          <w:i w:val="0"/>
          <w:color w:val="000000"/>
          <w:sz w:val="24"/>
          <w:szCs w:val="24"/>
        </w:rPr>
        <w:t> </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4"/>
          <w:szCs w:val="24"/>
        </w:rPr>
        <w:t> </w:t>
      </w:r>
      <w:r>
        <w:rPr>
          <w:rFonts w:ascii="Times New Roman" w:hAnsi="Times New Roman" w:cs="Times New Roman" w:eastAsia="Times New Roman"/>
          <w:b w:val="1"/>
          <w:i w:val="0"/>
          <w:color w:val="000000"/>
          <w:sz w:val="28"/>
          <w:szCs w:val="28"/>
        </w:rPr>
        <w:t>Сведения о показателях отчетности по сегментам</w:t>
      </w:r>
    </w:p>
    <w:p>
      <w:pPr>
        <w:spacing w:before="0" w:after="0" w:beforeAutospacing="0" w:afterAutospacing="0"/>
        <w:ind w:firstLine="700" w:left="0" w:right="0"/>
        <w:jc w:val="center"/>
        <w:outlineLvl w:val="9"/>
        <w:rPr>
          <w:color w:val="000000"/>
        </w:rPr>
      </w:pPr>
      <w:r>
        <w:rPr>
          <w:rFonts w:ascii="Times New Roman" w:hAnsi="Times New Roman" w:cs="Times New Roman" w:eastAsia="Times New Roman"/>
          <w:b w:val="1"/>
          <w:i w:val="0"/>
          <w:color w:val="000000"/>
          <w:sz w:val="28"/>
          <w:szCs w:val="28"/>
        </w:rPr>
        <w:t> </w:t>
      </w:r>
    </w:p>
    <w:p>
      <w:pPr>
        <w:spacing w:before="0" w:after="0" w:beforeAutospacing="0" w:afterAutospacing="0"/>
        <w:ind w:firstLine="700" w:left="0" w:right="0"/>
        <w:jc w:val="center"/>
        <w:outlineLvl w:val="9"/>
        <w:rPr>
          <w:color w:val="000000"/>
        </w:rPr>
      </w:pPr>
      <w:r>
        <w:rPr>
          <w:rFonts w:ascii="Times New Roman" w:hAnsi="Times New Roman" w:cs="Times New Roman" w:eastAsia="Times New Roman"/>
          <w:b w:val="1"/>
          <w:i w:val="0"/>
          <w:color w:val="000000"/>
          <w:sz w:val="26"/>
          <w:szCs w:val="26"/>
        </w:rPr>
        <w:t xml:space="preserve">Расшифровка показателей бухгалтерской отчетности по сегментам </w:t>
      </w:r>
    </w:p>
    <w:p>
      <w:pPr>
        <w:spacing w:before="0" w:after="0" w:beforeAutospacing="0" w:afterAutospacing="0"/>
        <w:ind w:firstLine="700" w:left="0" w:right="0"/>
        <w:jc w:val="center"/>
        <w:outlineLvl w:val="9"/>
        <w:rPr>
          <w:color w:val="000000"/>
        </w:rPr>
      </w:pPr>
      <w:r>
        <w:rPr>
          <w:rFonts w:ascii="Times New Roman" w:hAnsi="Times New Roman" w:cs="Times New Roman" w:eastAsia="Times New Roman"/>
          <w:b w:val="1"/>
          <w:i w:val="0"/>
          <w:color w:val="000000"/>
          <w:sz w:val="26"/>
          <w:szCs w:val="26"/>
        </w:rPr>
        <w:t>в отношении кредиторской задолженности</w:t>
      </w:r>
    </w:p>
    <w:tbl>
      <w:tblPr>
        <w:tblW w:w="13245" w:type="dxa"/>
        <w:tblInd w:w="108" w:type="dxa"/>
        <w:tblBorders>
          <w:top w:val="none" w:sz="0" w:space="0" w:shadow="0" w:frame="0" w:color="000000"/>
          <w:left w:val="none" w:sz="0" w:space="0" w:shadow="0" w:frame="0" w:color="000000"/>
          <w:bottom w:val="none" w:sz="0" w:space="0" w:shadow="0" w:frame="0" w:color="000000"/>
          <w:right w:val="none" w:sz="0" w:space="0" w:shadow="0" w:frame="0" w:color="000000"/>
          <w:insideH w:val="none" w:sz="0" w:space="0" w:shadow="0" w:frame="0" w:color="auto"/>
          <w:insideV w:val="none" w:sz="0" w:space="0" w:shadow="0" w:frame="0" w:color="auto"/>
        </w:tblBorders>
        <w:tblLayout w:type="autofit"/>
        <w:tblCellMar>
          <w:top w:w="0" w:type="dxa"/>
          <w:left w:w="0" w:type="dxa"/>
          <w:bottom w:w="0" w:type="dxa"/>
          <w:right w:w="0" w:type="dxa"/>
        </w:tblCellMar>
      </w:tblPr>
      <w:tblGrid/>
      <w:tr>
        <w:tc>
          <w:tcPr>
            <w:tcW w:w="1877"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1"/>
                <w:i w:val="0"/>
                <w:color w:val="000000"/>
                <w:sz w:val="24"/>
                <w:szCs w:val="24"/>
              </w:rPr>
              <w:t>Счет бухгалтерского учета</w:t>
            </w:r>
          </w:p>
          <w:p>
            <w:pPr>
              <w:spacing w:before="0" w:after="0" w:beforeAutospacing="0" w:afterAutospacing="0"/>
              <w:ind w:firstLine="0" w:left="0" w:right="0"/>
              <w:jc w:val="center"/>
              <w:rPr>
                <w:color w:val="000000"/>
              </w:rPr>
            </w:pPr>
            <w:r>
              <w:rPr>
                <w:rFonts w:ascii="Times New Roman" w:hAnsi="Times New Roman" w:cs="Times New Roman" w:eastAsia="Times New Roman"/>
                <w:b w:val="1"/>
                <w:i w:val="0"/>
                <w:color w:val="000000"/>
                <w:sz w:val="24"/>
                <w:szCs w:val="24"/>
              </w:rPr>
              <w:t> </w:t>
            </w:r>
          </w:p>
        </w:tc>
        <w:tc>
          <w:tcPr>
            <w:tcW w:w="2139"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1"/>
                <w:i w:val="0"/>
                <w:color w:val="000000"/>
                <w:sz w:val="24"/>
                <w:szCs w:val="24"/>
              </w:rPr>
              <w:t>Показатель задолженности на отчетную дату всего, руб.</w:t>
            </w:r>
          </w:p>
        </w:tc>
        <w:tc>
          <w:tcPr>
            <w:tcW w:w="2006"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1"/>
                <w:i w:val="0"/>
                <w:color w:val="000000"/>
                <w:sz w:val="24"/>
                <w:szCs w:val="24"/>
              </w:rPr>
              <w:t>В том числе по сегменту 1, руб.</w:t>
            </w:r>
          </w:p>
        </w:tc>
        <w:tc>
          <w:tcPr>
            <w:tcW w:w="1738"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1"/>
                <w:i w:val="0"/>
                <w:color w:val="000000"/>
                <w:sz w:val="24"/>
                <w:szCs w:val="24"/>
              </w:rPr>
              <w:t>В том числе по сегменту 2, руб.</w:t>
            </w:r>
          </w:p>
        </w:tc>
        <w:tc>
          <w:tcPr>
            <w:tcW w:w="1569"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1"/>
                <w:i w:val="0"/>
                <w:color w:val="000000"/>
                <w:sz w:val="24"/>
                <w:szCs w:val="24"/>
              </w:rPr>
              <w:t>В том числе по сегменту 3, руб.</w:t>
            </w:r>
          </w:p>
        </w:tc>
        <w:tc>
          <w:tcPr>
            <w:tcW w:w="2042"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1"/>
                <w:i w:val="0"/>
                <w:color w:val="000000"/>
                <w:sz w:val="24"/>
                <w:szCs w:val="24"/>
              </w:rPr>
              <w:t>Итого по сегментам 1, 2 и 3, руб.</w:t>
            </w:r>
          </w:p>
        </w:tc>
        <w:tc>
          <w:tcPr>
            <w:tcW w:w="187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1"/>
                <w:i w:val="0"/>
                <w:color w:val="000000"/>
                <w:sz w:val="24"/>
                <w:szCs w:val="24"/>
              </w:rPr>
              <w:t>% задолженности по сегментам 1,2 и 3 от общей суммы задолженности</w:t>
            </w:r>
          </w:p>
        </w:tc>
      </w:tr>
      <w:tr>
        <w:trPr>
          <w:trHeight w:hRule="atLeast" w:val="325"/>
        </w:trPr>
        <w:tc>
          <w:tcPr>
            <w:tcW w:w="1877"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1"/>
                <w:i w:val="0"/>
                <w:color w:val="000000"/>
                <w:sz w:val="24"/>
                <w:szCs w:val="24"/>
              </w:rPr>
              <w:t>205 00 000</w:t>
            </w:r>
          </w:p>
        </w:tc>
        <w:tc>
          <w:tcPr>
            <w:tcW w:w="2139"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25 000,00</w:t>
            </w:r>
          </w:p>
        </w:tc>
        <w:tc>
          <w:tcPr>
            <w:tcW w:w="2006"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25 000,00</w:t>
            </w:r>
          </w:p>
        </w:tc>
        <w:tc>
          <w:tcPr>
            <w:tcW w:w="1738"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0</w:t>
            </w:r>
          </w:p>
        </w:tc>
        <w:tc>
          <w:tcPr>
            <w:tcW w:w="1569"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0</w:t>
            </w:r>
          </w:p>
        </w:tc>
        <w:tc>
          <w:tcPr>
            <w:tcW w:w="2042"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25 000,00</w:t>
            </w:r>
          </w:p>
        </w:tc>
        <w:tc>
          <w:tcPr>
            <w:tcW w:w="187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100</w:t>
            </w:r>
          </w:p>
        </w:tc>
      </w:tr>
      <w:tr>
        <w:trPr>
          <w:trHeight w:hRule="atLeast" w:val="310"/>
        </w:trPr>
        <w:tc>
          <w:tcPr>
            <w:tcW w:w="1877"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1"/>
                <w:i w:val="0"/>
                <w:color w:val="000000"/>
                <w:sz w:val="24"/>
                <w:szCs w:val="24"/>
              </w:rPr>
              <w:t>Итого</w:t>
            </w:r>
          </w:p>
        </w:tc>
        <w:tc>
          <w:tcPr>
            <w:tcW w:w="2139"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1"/>
                <w:i w:val="0"/>
                <w:color w:val="000000"/>
                <w:sz w:val="24"/>
                <w:szCs w:val="24"/>
              </w:rPr>
              <w:t>25 000,00</w:t>
            </w:r>
          </w:p>
        </w:tc>
        <w:tc>
          <w:tcPr>
            <w:tcW w:w="2006"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1"/>
                <w:i w:val="0"/>
                <w:color w:val="000000"/>
                <w:sz w:val="24"/>
                <w:szCs w:val="24"/>
              </w:rPr>
              <w:t>25 000,00</w:t>
            </w:r>
          </w:p>
        </w:tc>
        <w:tc>
          <w:tcPr>
            <w:tcW w:w="1738"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1"/>
                <w:i w:val="0"/>
                <w:color w:val="000000"/>
                <w:sz w:val="24"/>
                <w:szCs w:val="24"/>
              </w:rPr>
              <w:t> </w:t>
            </w:r>
          </w:p>
        </w:tc>
        <w:tc>
          <w:tcPr>
            <w:tcW w:w="1569"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1"/>
                <w:i w:val="0"/>
                <w:color w:val="000000"/>
                <w:sz w:val="24"/>
                <w:szCs w:val="24"/>
              </w:rPr>
              <w:t> </w:t>
            </w:r>
          </w:p>
        </w:tc>
        <w:tc>
          <w:tcPr>
            <w:tcW w:w="2042"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1"/>
                <w:i w:val="0"/>
                <w:color w:val="000000"/>
                <w:sz w:val="24"/>
                <w:szCs w:val="24"/>
              </w:rPr>
              <w:t>25 000,00</w:t>
            </w:r>
          </w:p>
        </w:tc>
        <w:tc>
          <w:tcPr>
            <w:tcW w:w="187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center"/>
            <w:hideMark/>
          </w:tcPr>
          <w:p>
            <w:pPr>
              <w:spacing w:before="0" w:after="0" w:beforeAutospacing="0" w:afterAutospacing="0"/>
              <w:ind w:firstLine="0" w:left="0" w:right="0"/>
              <w:jc w:val="center"/>
              <w:rPr>
                <w:color w:val="000000"/>
              </w:rPr>
            </w:pPr>
            <w:r>
              <w:rPr>
                <w:rFonts w:ascii="Times New Roman" w:hAnsi="Times New Roman" w:cs="Times New Roman" w:eastAsia="Times New Roman"/>
                <w:b w:val="0"/>
                <w:i w:val="0"/>
                <w:color w:val="000000"/>
                <w:sz w:val="24"/>
                <w:szCs w:val="24"/>
              </w:rPr>
              <w:t> </w:t>
            </w:r>
          </w:p>
        </w:tc>
      </w:tr>
    </w:tbl>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4"/>
          <w:szCs w:val="24"/>
        </w:rPr>
        <w:t> </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4"/>
          <w:szCs w:val="24"/>
        </w:rPr>
        <w:t> </w:t>
      </w:r>
      <w:r>
        <w:rPr>
          <w:rFonts w:ascii="Times New Roman" w:hAnsi="Times New Roman" w:cs="Times New Roman" w:eastAsia="Times New Roman"/>
          <w:b w:val="0"/>
          <w:i w:val="0"/>
          <w:color w:val="000000"/>
          <w:sz w:val="28"/>
          <w:szCs w:val="28"/>
        </w:rPr>
        <w:t>В отчетном периоде осуществлялось исправление ошибки прошлого года (прошлых лет), которая отражена в Сведениях об изменении остатков валюты баланса Министерства (</w:t>
      </w:r>
      <w:hyperlink xmlns:r="http://schemas.openxmlformats.org/officeDocument/2006/relationships" r:id="R2">
        <w:r>
          <w:rPr>
            <w:rStyle w:val="C2"/>
            <w:rFonts w:ascii="Times New Roman" w:hAnsi="Times New Roman" w:cs="Times New Roman" w:eastAsia="Times New Roman"/>
            <w:b w:val="0"/>
            <w:i w:val="0"/>
            <w:color w:val="000000"/>
            <w:sz w:val="28"/>
            <w:szCs w:val="28"/>
            <w:u w:val="none"/>
          </w:rPr>
          <w:t>ф. 0503173</w:t>
        </w:r>
      </w:hyperlink>
      <w:r>
        <w:rPr>
          <w:rFonts w:ascii="Times New Roman" w:hAnsi="Times New Roman" w:cs="Times New Roman" w:eastAsia="Times New Roman"/>
          <w:b w:val="0"/>
          <w:i w:val="0"/>
          <w:color w:val="000000"/>
          <w:sz w:val="28"/>
          <w:szCs w:val="28"/>
        </w:rPr>
        <w:t xml:space="preserve">): </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1) ГУ "ППСЦ" в 2023 году в рамках субсидии на выполнение государственного задания отразила на счете «Непроизводственные активы» кадастровую стоимость земельных участков без изменения. В отчетном периоде принято решение об исправлении стоимости земли (с применением счетов 4 103 11 000, 4 210 06 000).</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2) В отчетном периоде был произведен перерасчет больничного листа за 2023 год уволенному сотруднику в сумме 6 568,80 руб. и НДФЛ в сумме 854,00 руб. в связи с изменением даты увольнения по решению суда от 14.12.2023г. (Решение вступило в силу 23.01.2024г.).</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3) При передачи остатков по счету 1 205 45 000 от Жилищной инспекции Министерству ЖКХ и ГЗН Пензенской области была передана сумма больше. При выверке данных по штрафам в отчетном 2024 году со службой судебных приставов сумма штрафа была меньше на 2 759,22 руб. В отчетном периоде было принято решение об исправлении ошибки прошлых лет.</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xml:space="preserve">4) По данным отчета за 2023 год у Регионального фонда капитального ремонта многоквартирных домов Пензенской области сложился остаток в размере 70 128,23 руб. Отчет рег. оператором был сдан в Министерство после предоставления годовой отчетности за 2023 год. В отчетном периоде было принято решение об исправлении ошибки прошлого года. </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В отчетном периоде в форме 0503125 (по счету 401.10.191) отражена передача от Администрации Токмакского муниципального округа на сумму 56 500,00 руб.</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В форме 0503121 в строке 093 (КОСГУ 173) указана сумма 754 232,35 со знаком "минус" - списание дебиторской задолженности по администрирумым штрафам Министерства.</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В форме 0503169 по счету 1 303 14 001 отражена сумма 37,00 руб. - переплата по налогу на имущество, которая возникла в 2018 году.</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В форме 0503178 (средства во временном распоряжении) по счету 3 201 11 000 "Денежные средства учреждения на лицевых счетах в органе казначейства" отражены средства в сумме 10 100,00 руб. - обеспечение исполнения Контракта на оказание услуг по обязательному государственному страхованию государственных гражданских служащих Пензенской области (N извещения 0855200000524004212). После заключения контракта в январе 2025 года, обеспечение будет возвращено страховой компании АО "СК ГАЙДЕ".</w:t>
      </w:r>
    </w:p>
    <w:p>
      <w:pPr>
        <w:spacing w:lineRule="auto" w:line="235"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В форме 0503296 отражена сумма 75 350,00 руб. - оплата по исполнительным листам (18 600,00 руб. исполнительный лист ВС № 107024304 от 12.08.2024г., 25 800,00 руб. исполнительный лист ВС № 107024450 от 11.11.2024г., 30 950,00 руб. исполнительный лист ВС № 107024449 от 11.11.2024г.). Административными комиссиями районов рассматриваются дела об административных правонарушениях в сфере благоустройства, организация или (и) содержание притонов для распития спиртных напитков, нарушение ограничений в сфере розничной продажи безалкогольных тонизирующих напитков, нарушение ограничений </w:t>
        <w:br w:type="textWrapping"/>
        <w:t xml:space="preserve">в сфере розничной продажи электронных систем доставки никотина, жидкости для них и др. В результате ненадлежащих действий уполномоченных должностных лиц граждане вынуждены обращаться в судебные органы для обжалования решений административных комиссий и взыскания финансовых издержек. Решениями судов взыскание убытков накладывается на бюджет Пензенской области в лице Министерства ЖКХ и ГЗН Пензенской области. </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Балансовая стоимость материальных запасов на 01.01.2025г. составила 42 420 465,70 руб., в т.ч.:</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лекарственные препараты и медицинские материалы в сумме 21 000,00 руб.;</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строительные материалы - иное движимое имущество в сумме 40 249 936,82 руб.;</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прочие материальные запасы - иное движимое имущество учреждения в сумме 2 149 528,88 руб.</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В отчетном периоде стоимость переданных муниципальным образованиям Пензенской области запасов аварийного резерва составила 10 510 866,32 руб., стоимость запасов, израсходованных на нужды Министерства - 393 709,85 руб., стоимость запасов, переданных из резервного фонда Правительства Пензенской области для Администраций Пологовского и Токмаковского муниципальных округов составила 14 300 534,00 руб. В отчетном периоде была передача (возврат) товара поставщику (ООО «АНКАС», ИНН 7451376055) в сумме 56 500,00 руб.</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В отчетном периоде поступило материальных запасов в сумме 30 157 063,40 руб., в т.ч.:</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для нужд Министерства 661 900,54 руб;</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для пополнения запасов аварийного резерва 15 617 828,86 руб.;</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для передачи Администрациям Пологовского и Токмакского муниципальных районов (за счет средств резервного фонда Правительства Пензенской области) 13 877 334,00 руб.</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На 01.01.2025г. по счету 1 106 31 000 "Вложения в основные средства - иное движимое имущество учреждения" сложился остаток в сумме 84 300,00 руб., в т.ч.: за счет средств резервного фонда Правительства Пензенской области - 84 300,00руб.</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В отчетном периоде по счету 1 106 31 000 была передача основных средств, переданных для нужд Администраций Пологовского и Токмаковского муниципальных округов, приобретенных на средства из резервного фонда Правительства Пензенской области в сумме 7 994 384,46 руб., стоимость основных средств для нужд Министерства - 489 416,24 руб.</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Поступления по счету 1 106 31 000 в сумме 6 078 890,70 руб., в т.ч.:</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для нужд Министерства в сумме 489 416,24 руб.;</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для передачи Администрациям Пологовского и Токмакского муниципальных округов (за счет средств резервного фонда Правительства Пензенской области) в сумме 5 589 474,46 руб.</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Срок полезного использования объекта основных средств определяется исходя из ожидаемого срока получения экономических выгод и (или) полезного потенциала, заключенного в активе, в порядке, установленном п. 35 СГС «Основные средства», п. 44 Инструкции № 157н.</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Срок полезного использования объектов основных средств устанавливается максимальный согласно постановлению Правительства Российской Федерации от 01.01.2002 №1 «О классификации основных средств, включаемых в амортизационные группы».</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Амортизация по всем основным средствам начисляется линейным методом.</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0"/>
          <w:i w:val="0"/>
          <w:color w:val="000000"/>
          <w:sz w:val="28"/>
          <w:szCs w:val="28"/>
        </w:rPr>
        <w:t>  Структурная часть объекта основных средств, которая имеет срок полезного использования, существенно отличающийся от сроков полезного использования других частей этого же объекта, и стоимость, составляющую значительную величину от его общей стоимости, учитывается как самостоятельный инвентарный объект.</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Сроки полезного использования считаются существенно отличающимися, если они относятся к разным амортизационным группам, определенным в Постановлении Правительства РФ от 01.01.2002 № 1.</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Стоимость структурной части объекта основных средств считается значительной, если она составляет не менее 10% его общей стоимости.</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xml:space="preserve">Способы приобретения материальных запасов – приобретение, получение при ликвидации материальных активов, безвозмездное получение; способы выбытия материальных запасов – расходование на нужды учреждения, передача муниципальным образованиям. </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Оценка материальных запасов, приобретенных за плату, осуществляется по фактической стоимости приобретения с учетом расходов, связанных с их приобретением.</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Признание в учете материалов, полученных при ликвидации нефинансовых материальных активов (в том числе ветоши, полученной от списания мягкого инвентаря), отражается по справедливой стоимости, определяемой методом рыночных цен.</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Безвозмездно полученные объекты нефинансовых активов, а также неучтенные объекты, выявленные при проведении проверок и инвентаризаций, принимаются к учету по их справедливой стоимости, определенной комиссией по поступлению и выбытию активов методом рыночных цен.</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Выбытие материальных запасов признается по фактической стоимости каждой единицы запасов.</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На счете 1 111 61 «Права пользования программным обеспечением и базами данных» по состоянию на 01.01.2024г. числится 1 291 060,00 руб. ("Нематериальные активы с определенным сроком полезного использования" - Право на использование ПО VipNet Client for Windows 4 шт.по 7 790,00 руб., "Нематериальные активы с неопределенным сроком полезного использования" - Лицензия на право использования СКЗИ "КриптоПро CSP" версия 5.0 на одном рабочем месте 12 800,00 руб., неисключительные права пользования на программное обеспечение 1С:Документооборот 8 ПРОФ 42 500,00 руб., 1С:Предприятие 8 ПРОФ. Клиентская лицензия на 5 рабочих мест 23 800,00 руб., Лицензия на право использования СКЗИ "КриптоПро CSP" версия 5.0 на одном рабочем месте 10 800,00 руб., права использования программного обеспечения в части функций расчета тарифов в сферах теплоснабжения, водоснабжения, вотоотведения и области обращения с твердыми коммунальными отходами на территории Пензенской области на сумму 1 170 000,00 руб. Оборотов по счету 1 111 61 за отчетный период не было (по состоянию на 01.01.2025г.).</w:t>
      </w:r>
    </w:p>
    <w:p>
      <w:pPr>
        <w:spacing w:before="0" w:after="0" w:beforeAutospacing="0" w:afterAutospacing="0"/>
        <w:ind w:firstLine="720" w:left="0" w:right="0"/>
        <w:jc w:val="both"/>
        <w:outlineLvl w:val="9"/>
        <w:rPr>
          <w:color w:val="000000"/>
        </w:rPr>
      </w:pPr>
      <w:r>
        <w:rPr>
          <w:rFonts w:ascii="Times New Roman" w:hAnsi="Times New Roman" w:cs="Times New Roman" w:eastAsia="Times New Roman"/>
          <w:b w:val="0"/>
          <w:i w:val="0"/>
          <w:color w:val="000000"/>
          <w:sz w:val="28"/>
          <w:szCs w:val="28"/>
        </w:rPr>
        <w:t> Оборотов за период не было. Сроком полезного использования нематериального актива является период, в течение которого предполагается использование актива. Амортизация на объекты нематериальных активов начисляется линейным способом.</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4"/>
          <w:szCs w:val="24"/>
        </w:rPr>
        <w:t> </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0"/>
          <w:i w:val="0"/>
          <w:color w:val="000000"/>
          <w:sz w:val="24"/>
          <w:szCs w:val="24"/>
        </w:rPr>
        <w:t xml:space="preserve">  </w:t>
      </w:r>
    </w:p>
    <w:p>
      <w:pPr>
        <w:spacing w:before="0" w:after="0" w:beforeAutospacing="0" w:afterAutospacing="0"/>
        <w:ind w:firstLine="540" w:left="0" w:right="0"/>
        <w:jc w:val="center"/>
        <w:outlineLvl w:val="9"/>
        <w:rPr>
          <w:color w:val="000000"/>
        </w:rPr>
      </w:pPr>
      <w:r>
        <w:rPr>
          <w:rFonts w:ascii="Times New Roman" w:hAnsi="Times New Roman" w:cs="Times New Roman" w:eastAsia="Times New Roman"/>
          <w:b w:val="1"/>
          <w:i w:val="0"/>
          <w:color w:val="000000"/>
          <w:sz w:val="28"/>
          <w:szCs w:val="28"/>
        </w:rPr>
        <w:t>5. Прочие вопросы деятельности субъекта бюджетной отчетности</w:t>
      </w:r>
    </w:p>
    <w:p>
      <w:pPr>
        <w:spacing w:before="0" w:after="0" w:beforeAutospacing="0" w:afterAutospacing="0"/>
        <w:ind w:firstLine="0" w:left="0" w:right="0"/>
        <w:jc w:val="center"/>
        <w:outlineLvl w:val="9"/>
        <w:rPr>
          <w:color w:val="000000"/>
        </w:rPr>
      </w:pPr>
      <w:r>
        <w:rPr>
          <w:rFonts w:ascii="Times New Roman" w:hAnsi="Times New Roman" w:cs="Times New Roman" w:eastAsia="Times New Roman"/>
          <w:b w:val="1"/>
          <w:i w:val="0"/>
          <w:color w:val="000000"/>
          <w:sz w:val="28"/>
          <w:szCs w:val="28"/>
        </w:rPr>
        <w:t> </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Бухгалтерский учет ведется в соответствии с федеральным законом от 06.12.2011 №402-ФЗ «О бухгалтерском учете» (с последующими изменениями), нормативными документами Министерства финансов Российской Федерации по учету исполнения бюджета, приказами Минфина РФ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(с последующими изменениями),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(с последующими изменениями), учетной политикой, федеральными стандартами бухгалтерского учета для организаций государственного сектора, утвержденными приказами Минфина России от 31 декабря 2016 № 256н, № 257н, № 258н, № 259н, № 260н, № 278н, № 274н, № 275н, от 30.12.2017 № 277н, от 27.02.2018 № 32н, от 28.02.2018 № 34н, № 37н, от 30.05.2018 № 124н, от 29.06.2018 № 145н, № 146н, от 07.12.2018 № 256н, от 15.11.2019 № 181н, № 184н, от 29.09.2020 № 223н, от 30.10.2020 № 255н (далее – соответственно Стандарт «Концептуальные основы бухучета и отчетности», Стандарт «Основные средства», Стандарт «Аренда», Стандарт «Обесценение активов», Стандарт «Представление бухгалтерской (финансовой) отчетности», Стандарт «Отчет о движении денежных средств», Стандарт «Учетная политика»,  Стандарт «События после отчетной даты», Стандарт «Информация о связанных сторонах», Стандарт «Доходы», Стандарт  «Бюджетная информация в бухгалтерской (финансовой) отчетности», Стандарт  «Непроизведенные активы», Стандарт «Резервы. Раскрытие информации об условных обязательствах и условных активах», Стандарт «Долгосрочные договоры», Стандарт «Концессионные соглашения», "Стандарт «Запасы», Стандарт «Нематериальные активы», Стандарт «Выплаты персоналу», Стандарт "Сведения о показателях бухгалтерской (финансовой) отчетности по сегментам", Стандарт "Консолидированная бухгалтерская (финансовая) отчетность").</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xml:space="preserve">Учет в Министерстве осуществляется с применением автоматизированной системы бюджетного учета «Смета». </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xml:space="preserve">Была проведена инвентаризация согласно Решений о проведении инвентаризации № 8 от 03.12.2024г., № 9 от 27.12.2024г., № 10 от 27.12.2024г. и № 1 от 10.01.2025г. Излишек и недостач не обнаружено. Обесценение объектов не выявлено. </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В связи с отсутствием финансовых показателей Министерством в составе отчетности на 01.01.2025 не представлены следующие формы по ОКУД: 0503125 "Справка по консолидируемым расчетам" ( по КСБУ 120561661, 140120241, 140120281, 140110195, 140110161), 0503166 "Сведения об исполнении мероприятий в рамках целевых программ", 0503167 "Сведения о целевых иностранных кредитах", 0503172 "Сведения о государственном (муниципальном) долге, представленных бюджетных кредитах", 0503173 "Сведения об изменении остатков валюты баланса (средства во временном распоряжении)", 0503174 "Сведения о доходах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 0503178 "Сведения об остатаках денежных средств на счетах получателя бюджетных средств (бюджетная)", 0503190 "Сведения о вложениях в объекты недвижимого имущества, объектах незавершенного строительства". Также отсутствуют данные к пояснительной записке: таблица № 6 "Сведения о проведении инвентаризации"</w:t>
      </w:r>
      <w:r>
        <w:rPr>
          <w:rFonts w:ascii="Calibri" w:hAnsi="Calibri" w:cs="Calibri" w:eastAsia="Calibri"/>
          <w:b w:val="0"/>
          <w:i w:val="0"/>
          <w:color w:val="000000"/>
          <w:sz w:val="28"/>
          <w:szCs w:val="28"/>
        </w:rPr>
        <w:t xml:space="preserve"> </w:t>
      </w:r>
      <w:r>
        <w:rPr>
          <w:rFonts w:ascii="Times New Roman" w:hAnsi="Times New Roman" w:cs="Times New Roman" w:eastAsia="Times New Roman"/>
          <w:b w:val="0"/>
          <w:i w:val="0"/>
          <w:color w:val="000000"/>
          <w:sz w:val="28"/>
          <w:szCs w:val="28"/>
        </w:rPr>
        <w:t>и таблица № 14 "Анализ показателей отчетности субъекта бюджетной отчетности".</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4"/>
          <w:szCs w:val="24"/>
        </w:rPr>
        <w:t> </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4"/>
          <w:szCs w:val="24"/>
        </w:rPr>
        <w:t> </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4"/>
          <w:szCs w:val="24"/>
        </w:rPr>
        <w:t> </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4"/>
          <w:szCs w:val="24"/>
        </w:rPr>
        <w:t> </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4"/>
          <w:szCs w:val="24"/>
        </w:rPr>
        <w:t> </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4"/>
          <w:szCs w:val="24"/>
        </w:rPr>
        <w:t> </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4"/>
          <w:szCs w:val="24"/>
        </w:rPr>
        <w:t> </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4"/>
          <w:szCs w:val="24"/>
        </w:rPr>
        <w:t> </w:t>
      </w:r>
    </w:p>
    <w:p>
      <w:pPr>
        <w:spacing w:before="0" w:after="0" w:beforeAutospacing="0" w:afterAutospacing="0"/>
        <w:ind w:firstLine="540" w:left="0" w:right="0"/>
        <w:jc w:val="both"/>
        <w:outlineLvl w:val="9"/>
        <w:rPr>
          <w:color w:val="000000"/>
        </w:rPr>
      </w:pPr>
      <w:r>
        <w:rPr>
          <w:rFonts w:ascii="Calibri" w:hAnsi="Calibri" w:cs="Calibri" w:eastAsia="Calibri"/>
          <w:b w:val="0"/>
          <w:i w:val="0"/>
          <w:color w:val="000000"/>
          <w:sz w:val="22"/>
          <w:szCs w:val="22"/>
        </w:rPr>
        <w:t> </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0"/>
          <w:i w:val="0"/>
          <w:color w:val="000000"/>
          <w:sz w:val="28"/>
          <w:szCs w:val="28"/>
        </w:rPr>
        <w:t> </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0"/>
          <w:i w:val="0"/>
          <w:color w:val="000000"/>
          <w:sz w:val="28"/>
          <w:szCs w:val="28"/>
        </w:rPr>
        <w:t> </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0"/>
          <w:i w:val="0"/>
          <w:color w:val="000000"/>
          <w:sz w:val="28"/>
          <w:szCs w:val="28"/>
        </w:rPr>
        <w:t> </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0"/>
          <w:i w:val="0"/>
          <w:color w:val="000000"/>
          <w:sz w:val="28"/>
          <w:szCs w:val="28"/>
        </w:rPr>
        <w:t> </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0"/>
          <w:i w:val="0"/>
          <w:color w:val="000000"/>
          <w:sz w:val="28"/>
          <w:szCs w:val="28"/>
        </w:rPr>
        <w:t> </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0"/>
          <w:i w:val="0"/>
          <w:color w:val="000000"/>
          <w:sz w:val="28"/>
          <w:szCs w:val="28"/>
        </w:rPr>
        <w:t> </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0"/>
          <w:i w:val="0"/>
          <w:color w:val="000000"/>
          <w:sz w:val="28"/>
          <w:szCs w:val="28"/>
        </w:rPr>
        <w:t> </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0"/>
          <w:i w:val="0"/>
          <w:color w:val="000000"/>
          <w:sz w:val="28"/>
          <w:szCs w:val="28"/>
        </w:rPr>
        <w:t> </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0"/>
          <w:i w:val="0"/>
          <w:color w:val="000000"/>
          <w:sz w:val="28"/>
          <w:szCs w:val="28"/>
        </w:rPr>
        <w:t> </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0"/>
          <w:i w:val="0"/>
          <w:color w:val="000000"/>
          <w:sz w:val="28"/>
          <w:szCs w:val="28"/>
        </w:rPr>
        <w:t> </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0"/>
          <w:i w:val="0"/>
          <w:color w:val="000000"/>
          <w:sz w:val="24"/>
          <w:szCs w:val="24"/>
        </w:rPr>
        <w:t> </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w:t>
      </w:r>
    </w:p>
    <w:p>
      <w:pPr>
        <w:spacing w:before="0" w:after="0" w:beforeAutospacing="0" w:afterAutospacing="0"/>
        <w:ind w:firstLine="540" w:left="0" w:right="0"/>
        <w:jc w:val="both"/>
        <w:outlineLvl w:val="9"/>
        <w:rPr>
          <w:color w:val="000000"/>
        </w:rPr>
      </w:pPr>
      <w:r>
        <w:rPr>
          <w:rFonts w:ascii="Times New Roman" w:hAnsi="Times New Roman" w:cs="Times New Roman" w:eastAsia="Times New Roman"/>
          <w:b w:val="0"/>
          <w:i w:val="0"/>
          <w:color w:val="000000"/>
          <w:sz w:val="28"/>
          <w:szCs w:val="28"/>
        </w:rPr>
        <w:t> </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0"/>
          <w:i w:val="0"/>
          <w:color w:val="000000"/>
          <w:sz w:val="24"/>
          <w:szCs w:val="24"/>
        </w:rPr>
        <w:t> </w:t>
      </w:r>
    </w:p>
    <w:p>
      <w:pPr>
        <w:spacing w:before="0" w:after="0" w:beforeAutospacing="0" w:afterAutospacing="0"/>
        <w:ind w:firstLine="0" w:left="0" w:right="0"/>
        <w:jc w:val="both"/>
        <w:outlineLvl w:val="9"/>
        <w:rPr>
          <w:color w:val="000000"/>
        </w:rPr>
      </w:pPr>
      <w:r>
        <w:rPr>
          <w:rFonts w:ascii="Times New Roman" w:hAnsi="Times New Roman" w:cs="Times New Roman" w:eastAsia="Times New Roman"/>
          <w:b w:val="0"/>
          <w:i w:val="0"/>
          <w:color w:val="000000"/>
          <w:sz w:val="28"/>
          <w:szCs w:val="28"/>
        </w:rPr>
        <w:t> </w:t>
      </w:r>
    </w:p>
    <w:p>
      <w:pPr>
        <w:spacing w:before="0" w:after="0" w:beforeAutospacing="0" w:afterAutospacing="0"/>
        <w:ind w:firstLine="0" w:left="0" w:right="0"/>
        <w:jc w:val="left"/>
        <w:outlineLvl w:val="9"/>
        <w:rPr>
          <w:color w:val="000000"/>
        </w:rPr>
      </w:pPr>
      <w:r>
        <w:rPr>
          <w:rFonts w:ascii="Calibri" w:hAnsi="Calibri" w:cs="Calibri" w:eastAsia="Calibri"/>
          <w:b w:val="0"/>
          <w:i w:val="0"/>
          <w:color w:val="000000"/>
          <w:sz w:val="22"/>
          <w:szCs w:val="22"/>
        </w:rPr>
        <w:t> </w:t>
      </w:r>
    </w:p>
    <w:p>
      <w:pPr>
        <w:spacing w:before="0" w:after="0" w:beforeAutospacing="0" w:afterAutospacing="0"/>
        <w:ind w:firstLine="0" w:left="0" w:right="0"/>
        <w:outlineLvl w:val="9"/>
      </w:pPr>
      <w:r>
        <w:t> </w:t>
      </w:r>
    </w:p>
    <w:p>
      <w:pPr>
        <w:spacing w:before="0" w:after="0" w:beforeAutospacing="0" w:afterAutospacing="0"/>
        <w:ind w:firstLine="0" w:left="0" w:right="0"/>
        <w:outlineLvl w:val="9"/>
        <w:rPr>
          <w:rFonts w:ascii="Times New Roman" w:hAnsi="Times New Roman" w:cs="Times New Roman" w:eastAsia="Times New Roman"/>
          <w:sz w:val="24"/>
        </w:rPr>
      </w:pPr>
      <w:r>
        <w:rPr>
          <w:rFonts w:ascii="Times New Roman" w:hAnsi="Times New Roman" w:cs="Times New Roman" w:eastAsia="Times New Roman"/>
          <w:sz w:val="24"/>
          <w:szCs w:val="24"/>
        </w:rPr>
        <w:t> </w:t>
      </w:r>
    </w:p>
    <w:tbl>
      <w:tblPr>
        <w:tblW w:w="9380" w:type="dxa"/>
        <w:tblInd w:w="96" w:type="dxa"/>
        <w:tblBorders>
          <w:top w:val="none" w:sz="0" w:space="0" w:shadow="0" w:frame="0" w:color="000000"/>
          <w:left w:val="none" w:sz="0" w:space="0" w:shadow="0" w:frame="0" w:color="000000"/>
          <w:bottom w:val="none" w:sz="0" w:space="0" w:shadow="0" w:frame="0" w:color="000000"/>
          <w:right w:val="none" w:sz="0" w:space="0" w:shadow="0" w:frame="0" w:color="000000"/>
          <w:insideH w:val="none" w:sz="0" w:space="0" w:shadow="0" w:frame="0" w:color="auto"/>
          <w:insideV w:val="none" w:sz="0" w:space="0" w:shadow="0" w:frame="0" w:color="auto"/>
        </w:tblBorders>
        <w:tblLayout w:type="autofit"/>
        <w:tblCellMar>
          <w:top w:w="0" w:type="dxa"/>
          <w:left w:w="0" w:type="dxa"/>
          <w:bottom w:w="0" w:type="dxa"/>
          <w:right w:w="0" w:type="dxa"/>
        </w:tblCellMar>
      </w:tblPr>
      <w:tblGrid/>
      <w:tr>
        <w:tc>
          <w:tcPr>
            <w:tcW w:w="3570" w:type="dxa"/>
            <w:tcMar>
              <w:top w:w="0" w:type="dxa"/>
              <w:left w:w="108" w:type="dxa"/>
              <w:bottom w:w="0" w:type="dxa"/>
              <w:right w:w="108" w:type="dxa"/>
            </w:tcMar>
            <w:vAlign w:val="center"/>
            <w:hideMark/>
          </w:tcPr>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20"/>
                <w:szCs w:val="20"/>
              </w:rPr>
              <w:t>Руководитель</w:t>
            </w:r>
          </w:p>
        </w:tc>
        <w:tc>
          <w:tcPr>
            <w:tcW w:w="2040" w:type="dxa"/>
            <w:tcMar>
              <w:top w:w="0" w:type="dxa"/>
              <w:left w:w="108" w:type="dxa"/>
              <w:bottom w:w="0" w:type="dxa"/>
              <w:right w:w="108" w:type="dxa"/>
            </w:tcMar>
            <w:vAlign w:val="center"/>
            <w:hideMark/>
          </w:tcPr>
          <w:p>
            <w:pPr>
              <w:spacing w:before="0" w:after="0" w:beforeAutospacing="0" w:afterAutospacing="0"/>
              <w:ind w:left="0" w:right="0"/>
              <w:rPr>
                <w:rFonts w:ascii="Times New Roman" w:hAnsi="Times New Roman" w:cs="Times New Roman" w:eastAsia="Times New Roman"/>
                <w:sz w:val="24"/>
              </w:rPr>
            </w:pPr>
            <w:r>
              <w:drawing>
                <wp:inline xmlns:wp="http://schemas.openxmlformats.org/drawingml/2006/wordprocessingDrawing" distT="0" distB="0" distL="0" distR="0">
                  <wp:extent cx="28575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dpi="0">
                          <a:blip xmlns:r="http://schemas.openxmlformats.org/officeDocument/2006/relationships" r:embed="Relimage1"/>
                          <a:srcRect/>
                          <a:stretch>
                            <a:fillRect/>
                          </a:stretch>
                        </pic:blipFill>
                        <pic:spPr>
                          <a:xfrm>
                            <a:off x="0" y="0"/>
                            <a:ext cx="2857500" cy="952500"/>
                          </a:xfrm>
                          <a:prstGeom prst="rect"/>
                          <a:noFill/>
                        </pic:spPr>
                      </pic:pic>
                    </a:graphicData>
                  </a:graphic>
                </wp:inline>
              </w:drawing>
            </w:r>
          </w:p>
        </w:tc>
        <w:tc>
          <w:tcPr>
            <w:tcW w:w="0" w:type="auto"/>
            <w:tcMar>
              <w:top w:w="0" w:type="dxa"/>
              <w:left w:w="108" w:type="dxa"/>
              <w:bottom w:w="0" w:type="dxa"/>
              <w:right w:w="108" w:type="dxa"/>
            </w:tcMar>
            <w:vAlign w:val="center"/>
            <w:hideMark/>
          </w:tcPr>
          <w:p>
            <w:pPr>
              <w:ind w:left="0" w:right="0"/>
            </w:pPr>
          </w:p>
        </w:tc>
      </w:tr>
      <w:tr>
        <w:trPr>
          <w:trHeight w:hRule="atLeast" w:val="280"/>
        </w:trPr>
        <w:tc>
          <w:tcPr>
            <w:tcW w:w="3570" w:type="dxa"/>
            <w:noWrap/>
            <w:tcMar>
              <w:top w:w="0" w:type="dxa"/>
              <w:left w:w="108" w:type="dxa"/>
              <w:bottom w:w="0" w:type="dxa"/>
              <w:right w:w="108" w:type="dxa"/>
            </w:tcMar>
            <w:vAlign w:val="bottom"/>
            <w:hideMark/>
          </w:tcPr>
          <w:p>
            <w:pPr>
              <w:ind w:left="0" w:right="0"/>
              <w:rPr>
                <w:sz w:val="24"/>
              </w:rPr>
            </w:pPr>
          </w:p>
        </w:tc>
        <w:tc>
          <w:tcPr>
            <w:tcW w:w="2040" w:type="dxa"/>
            <w:tcMar>
              <w:top w:w="0" w:type="dxa"/>
              <w:left w:w="108" w:type="dxa"/>
              <w:bottom w:w="0" w:type="dxa"/>
              <w:right w:w="108" w:type="dxa"/>
            </w:tcMar>
            <w:vAlign w:val="center"/>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20"/>
                <w:szCs w:val="20"/>
              </w:rPr>
              <w:t>(подпись)</w:t>
            </w:r>
          </w:p>
        </w:tc>
        <w:tc>
          <w:tcPr>
            <w:tcW w:w="0" w:type="auto"/>
            <w:tcMar>
              <w:top w:w="0" w:type="dxa"/>
              <w:left w:w="108" w:type="dxa"/>
              <w:bottom w:w="0" w:type="dxa"/>
              <w:right w:w="108" w:type="dxa"/>
            </w:tcMar>
            <w:vAlign w:val="center"/>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20"/>
                <w:szCs w:val="20"/>
              </w:rPr>
              <w:t>(расшифровка подписи)</w:t>
            </w:r>
          </w:p>
        </w:tc>
      </w:tr>
      <w:tr>
        <w:trPr>
          <w:trHeight w:hRule="atLeast" w:val="281"/>
        </w:trPr>
        <w:tc>
          <w:tcPr>
            <w:tcW w:w="0" w:type="auto"/>
            <w:gridSpan w:val="3"/>
            <w:noWrap/>
            <w:tcMar>
              <w:top w:w="0" w:type="dxa"/>
              <w:left w:w="108" w:type="dxa"/>
              <w:bottom w:w="0" w:type="dxa"/>
              <w:right w:w="108" w:type="dxa"/>
            </w:tcMar>
            <w:vAlign w:val="bottom"/>
            <w:hideMark/>
          </w:tcPr>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20"/>
                <w:szCs w:val="20"/>
              </w:rPr>
              <w:t> </w:t>
            </w:r>
          </w:p>
        </w:tc>
      </w:tr>
      <w:tr>
        <w:trPr>
          <w:trHeight w:hRule="atLeast" w:val="281"/>
        </w:trPr>
        <w:tc>
          <w:tcPr>
            <w:tcW w:w="3570" w:type="dxa"/>
            <w:tcMar>
              <w:top w:w="0" w:type="dxa"/>
              <w:left w:w="108" w:type="dxa"/>
              <w:bottom w:w="0" w:type="dxa"/>
              <w:right w:w="108" w:type="dxa"/>
            </w:tcMar>
            <w:vAlign w:val="center"/>
            <w:hideMark/>
          </w:tcPr>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20"/>
                <w:szCs w:val="20"/>
              </w:rPr>
              <w:t>Руководитель планово-</w:t>
            </w:r>
          </w:p>
        </w:tc>
        <w:tc>
          <w:tcPr>
            <w:tcW w:w="2040" w:type="dxa"/>
            <w:tcMar>
              <w:top w:w="0" w:type="dxa"/>
              <w:left w:w="108" w:type="dxa"/>
              <w:bottom w:w="0" w:type="dxa"/>
              <w:right w:w="108" w:type="dxa"/>
            </w:tcMar>
            <w:vAlign w:val="center"/>
            <w:hideMark/>
          </w:tcPr>
          <w:p>
            <w:pPr>
              <w:ind w:left="0" w:right="0"/>
              <w:rPr>
                <w:sz w:val="24"/>
              </w:rPr>
            </w:pPr>
          </w:p>
        </w:tc>
        <w:tc>
          <w:tcPr>
            <w:tcW w:w="0" w:type="auto"/>
            <w:tcMar>
              <w:top w:w="0" w:type="dxa"/>
              <w:left w:w="108" w:type="dxa"/>
              <w:bottom w:w="0" w:type="dxa"/>
              <w:right w:w="108" w:type="dxa"/>
            </w:tcMar>
            <w:vAlign w:val="center"/>
            <w:hideMark/>
          </w:tcPr>
          <w:p>
            <w:pPr>
              <w:ind w:left="0" w:right="0"/>
              <w:rPr>
                <w:sz w:val="24"/>
              </w:rPr>
            </w:pPr>
          </w:p>
        </w:tc>
      </w:tr>
      <w:tr>
        <w:trPr>
          <w:trHeight w:hRule="atLeast" w:val="281"/>
        </w:trPr>
        <w:tc>
          <w:tcPr>
            <w:tcW w:w="3570" w:type="dxa"/>
            <w:tcMar>
              <w:top w:w="0" w:type="dxa"/>
              <w:left w:w="108" w:type="dxa"/>
              <w:bottom w:w="0" w:type="dxa"/>
              <w:right w:w="108" w:type="dxa"/>
            </w:tcMar>
            <w:vAlign w:val="center"/>
            <w:hideMark/>
          </w:tcPr>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20"/>
                <w:szCs w:val="20"/>
              </w:rPr>
              <w:t>экономической службы</w:t>
            </w:r>
          </w:p>
        </w:tc>
        <w:tc>
          <w:tcPr>
            <w:tcW w:w="2040" w:type="dxa"/>
            <w:tcMar>
              <w:top w:w="0" w:type="dxa"/>
              <w:left w:w="108" w:type="dxa"/>
              <w:bottom w:w="0" w:type="dxa"/>
              <w:right w:w="108" w:type="dxa"/>
            </w:tcMar>
            <w:vAlign w:val="center"/>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20"/>
                <w:szCs w:val="20"/>
              </w:rPr>
              <w:t>(подпись)</w:t>
            </w:r>
          </w:p>
        </w:tc>
        <w:tc>
          <w:tcPr>
            <w:tcW w:w="0" w:type="auto"/>
            <w:tcMar>
              <w:top w:w="0" w:type="dxa"/>
              <w:left w:w="108" w:type="dxa"/>
              <w:bottom w:w="0" w:type="dxa"/>
              <w:right w:w="108" w:type="dxa"/>
            </w:tcMar>
            <w:vAlign w:val="center"/>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20"/>
                <w:szCs w:val="20"/>
              </w:rPr>
              <w:t>(расшифровка подписи)</w:t>
            </w:r>
          </w:p>
        </w:tc>
      </w:tr>
      <w:tr>
        <w:trPr>
          <w:trHeight w:hRule="atLeast" w:val="281"/>
        </w:trPr>
        <w:tc>
          <w:tcPr>
            <w:tcW w:w="0" w:type="auto"/>
            <w:gridSpan w:val="3"/>
            <w:noWrap/>
            <w:tcMar>
              <w:top w:w="0" w:type="dxa"/>
              <w:left w:w="108" w:type="dxa"/>
              <w:bottom w:w="0" w:type="dxa"/>
              <w:right w:w="108" w:type="dxa"/>
            </w:tcMar>
            <w:vAlign w:val="bottom"/>
            <w:hideMark/>
          </w:tcPr>
          <w:p>
            <w:pPr>
              <w:ind w:left="0" w:right="0"/>
              <w:rPr>
                <w:sz w:val="24"/>
              </w:rPr>
            </w:pPr>
          </w:p>
        </w:tc>
      </w:tr>
      <w:tr>
        <w:trPr>
          <w:trHeight w:hRule="atLeast" w:val="281"/>
        </w:trPr>
        <w:tc>
          <w:tcPr>
            <w:tcW w:w="3570" w:type="dxa"/>
            <w:tcMar>
              <w:top w:w="0" w:type="dxa"/>
              <w:left w:w="108" w:type="dxa"/>
              <w:bottom w:w="0" w:type="dxa"/>
              <w:right w:w="108" w:type="dxa"/>
            </w:tcMar>
            <w:vAlign w:val="center"/>
            <w:hideMark/>
          </w:tcPr>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20"/>
                <w:szCs w:val="20"/>
              </w:rPr>
              <w:t>Главный</w:t>
            </w:r>
          </w:p>
        </w:tc>
        <w:tc>
          <w:tcPr>
            <w:tcW w:w="2040" w:type="dxa"/>
            <w:tcMar>
              <w:top w:w="0" w:type="dxa"/>
              <w:left w:w="108" w:type="dxa"/>
              <w:bottom w:w="0" w:type="dxa"/>
              <w:right w:w="108" w:type="dxa"/>
            </w:tcMar>
            <w:vAlign w:val="center"/>
            <w:hideMark/>
          </w:tcPr>
          <w:p>
            <w:pPr>
              <w:spacing w:before="0" w:after="0" w:beforeAutospacing="0" w:afterAutospacing="0"/>
              <w:ind w:left="0" w:right="0"/>
              <w:rPr>
                <w:rFonts w:ascii="Times New Roman" w:hAnsi="Times New Roman" w:cs="Times New Roman" w:eastAsia="Times New Roman"/>
                <w:sz w:val="24"/>
              </w:rPr>
            </w:pPr>
            <w:r>
              <w:drawing>
                <wp:inline xmlns:wp="http://schemas.openxmlformats.org/drawingml/2006/wordprocessingDrawing" distT="0" distB="0" distL="0" distR="0">
                  <wp:extent cx="28575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dpi="0">
                          <a:blip xmlns:r="http://schemas.openxmlformats.org/officeDocument/2006/relationships" r:embed="Relimage2"/>
                          <a:srcRect/>
                          <a:stretch>
                            <a:fillRect/>
                          </a:stretch>
                        </pic:blipFill>
                        <pic:spPr>
                          <a:xfrm>
                            <a:off x="0" y="0"/>
                            <a:ext cx="2857500" cy="952500"/>
                          </a:xfrm>
                          <a:prstGeom prst="rect"/>
                          <a:noFill/>
                        </pic:spPr>
                      </pic:pic>
                    </a:graphicData>
                  </a:graphic>
                </wp:inline>
              </w:drawing>
            </w:r>
          </w:p>
        </w:tc>
        <w:tc>
          <w:tcPr>
            <w:tcW w:w="0" w:type="auto"/>
            <w:noWrap/>
            <w:tcMar>
              <w:top w:w="0" w:type="dxa"/>
              <w:left w:w="108" w:type="dxa"/>
              <w:bottom w:w="0" w:type="dxa"/>
              <w:right w:w="108" w:type="dxa"/>
            </w:tcMar>
            <w:vAlign w:val="bottom"/>
            <w:hideMark/>
          </w:tcPr>
          <w:p>
            <w:pPr>
              <w:ind w:left="0" w:right="0"/>
              <w:rPr>
                <w:sz w:val="24"/>
              </w:rPr>
            </w:pPr>
          </w:p>
        </w:tc>
      </w:tr>
      <w:tr>
        <w:trPr>
          <w:trHeight w:hRule="atLeast" w:val="281"/>
        </w:trPr>
        <w:tc>
          <w:tcPr>
            <w:tcW w:w="3570" w:type="dxa"/>
            <w:tcMar>
              <w:top w:w="0" w:type="dxa"/>
              <w:left w:w="108" w:type="dxa"/>
              <w:bottom w:w="0" w:type="dxa"/>
              <w:right w:w="108" w:type="dxa"/>
            </w:tcMar>
            <w:vAlign w:val="center"/>
            <w:hideMark/>
          </w:tcPr>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20"/>
                <w:szCs w:val="20"/>
              </w:rPr>
              <w:t>бухгалтер</w:t>
            </w:r>
          </w:p>
        </w:tc>
        <w:tc>
          <w:tcPr>
            <w:tcW w:w="2040" w:type="dxa"/>
            <w:tcMar>
              <w:top w:w="0" w:type="dxa"/>
              <w:left w:w="108" w:type="dxa"/>
              <w:bottom w:w="0" w:type="dxa"/>
              <w:right w:w="108" w:type="dxa"/>
            </w:tcMar>
            <w:vAlign w:val="center"/>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20"/>
                <w:szCs w:val="20"/>
              </w:rPr>
              <w:t>(подпись)</w:t>
            </w:r>
          </w:p>
        </w:tc>
        <w:tc>
          <w:tcPr>
            <w:tcW w:w="0" w:type="auto"/>
            <w:tcMar>
              <w:top w:w="0" w:type="dxa"/>
              <w:left w:w="108" w:type="dxa"/>
              <w:bottom w:w="0" w:type="dxa"/>
              <w:right w:w="108" w:type="dxa"/>
            </w:tcMar>
            <w:vAlign w:val="center"/>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20"/>
                <w:szCs w:val="20"/>
              </w:rPr>
              <w:t>(расшифровка подписи)</w:t>
            </w:r>
          </w:p>
        </w:tc>
      </w:tr>
      <w:tr>
        <w:trPr>
          <w:trHeight w:hRule="atLeast" w:val="449"/>
        </w:trPr>
        <w:tc>
          <w:tcPr>
            <w:tcW w:w="3570" w:type="dxa"/>
            <w:tcMar>
              <w:top w:w="0" w:type="dxa"/>
              <w:left w:w="108" w:type="dxa"/>
              <w:bottom w:w="0" w:type="dxa"/>
              <w:right w:w="108" w:type="dxa"/>
            </w:tcMar>
            <w:vAlign w:val="center"/>
            <w:hideMark/>
          </w:tcPr>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20"/>
                <w:szCs w:val="20"/>
              </w:rPr>
              <w:t>"____"   ____________ 20____г.</w:t>
            </w:r>
          </w:p>
        </w:tc>
        <w:tc>
          <w:tcPr>
            <w:tcW w:w="0" w:type="auto"/>
            <w:tcMar>
              <w:top w:w="0" w:type="dxa"/>
              <w:left w:w="108" w:type="dxa"/>
              <w:bottom w:w="0" w:type="dxa"/>
              <w:right w:w="108" w:type="dxa"/>
            </w:tcMar>
            <w:vAlign w:val="center"/>
            <w:hideMark/>
          </w:tcPr>
          <w:p>
            <w:pPr>
              <w:ind w:left="0" w:right="0"/>
              <w:rPr>
                <w:sz w:val="24"/>
              </w:rPr>
            </w:pPr>
          </w:p>
        </w:tc>
        <w:tc>
          <w:tcPr>
            <w:tcW w:w="0" w:type="auto"/>
            <w:tcMar>
              <w:top w:w="0" w:type="dxa"/>
              <w:left w:w="108" w:type="dxa"/>
              <w:bottom w:w="0" w:type="dxa"/>
              <w:right w:w="108" w:type="dxa"/>
            </w:tcMar>
            <w:vAlign w:val="center"/>
            <w:hideMark/>
          </w:tcPr>
          <w:p>
            <w:pPr>
              <w:ind w:left="0" w:right="0"/>
              <w:rPr>
                <w:sz w:val="24"/>
              </w:rPr>
            </w:pPr>
          </w:p>
        </w:tc>
      </w:tr>
    </w:tbl>
    <w:p>
      <w:r>
        <w:rPr>
          <w:rFonts w:ascii="Times New Roman" w:hAnsi="Times New Roman" w:cs="Times New Roman" w:eastAsia="Times New Roman"/>
          <w:sz w:val="24"/>
          <w:szCs w:val="24"/>
        </w:rPr>
        <w:t xml:space="preserve">Документ подписан электронной подписью. </w:t>
        <w:br w:type="textWrapping"/>
        <w:t xml:space="preserve">Главный бухгалтер(Зотова Инна Евгеньевна, Сертификат: 36638C53094098EF64956043FB535F36, Действителен: с 15.07.2024 по 08.10.2025),Руководитель(Панюхин Михаил Анатольевич, Сертификат: 18ED69401A312D8E26C1EFA12C2A1623, Действителен: с 18.07.2024 по 11.10.2025)        </w:t>
      </w:r>
    </w:p>
    <w:sectPr>
      <w:type w:val="nextPage"/>
      <w:pgSz w:w="15840" w:h="12240" w:orient="landscape"/>
      <w:pgMar w:left="1700" w:right="850" w:top="1133" w:bottom="1133" w:header="708" w:footer="708" w:gutter="0"/>
    </w:sectPr>
  </w:body>
</w:document>
</file>

<file path=word/numbering.xml><?xml version="1.0" encoding="utf-8"?>
<w:numbering xmlns:w="http://schemas.openxmlformats.org/wordprocessingml/2006/main">
  <w:abstractNum w:abstractNumId="0">
    <w:nsid w:val="3BD4F722"/>
    <w:multiLevelType w:val="hybridMultilevel"/>
    <w:lvl w:ilvl="0" w:tplc="094FBAA9">
      <w:start w:val="1"/>
      <w:numFmt w:val="decimal"/>
      <w:suff w:val="tab"/>
      <w:lvlText w:val="%1."/>
      <w:lvlJc w:val="left"/>
      <w:pPr>
        <w:ind w:hanging="360" w:left="720"/>
      </w:pPr>
      <w:rPr/>
    </w:lvl>
    <w:lvl w:ilvl="1" w:tplc="7734BA1A">
      <w:start w:val="1"/>
      <w:numFmt w:val="decimal"/>
      <w:suff w:val="tab"/>
      <w:lvlText w:val="%2."/>
      <w:lvlJc w:val="left"/>
      <w:pPr>
        <w:ind w:hanging="360" w:left="1440"/>
      </w:pPr>
      <w:rPr/>
    </w:lvl>
    <w:lvl w:ilvl="2" w:tplc="041C22BC">
      <w:start w:val="1"/>
      <w:numFmt w:val="decimal"/>
      <w:suff w:val="tab"/>
      <w:lvlText w:val="%3."/>
      <w:lvlJc w:val="left"/>
      <w:pPr>
        <w:ind w:hanging="360" w:left="2160"/>
      </w:pPr>
      <w:rPr/>
    </w:lvl>
    <w:lvl w:ilvl="3" w:tplc="1635FD59">
      <w:start w:val="1"/>
      <w:numFmt w:val="decimal"/>
      <w:suff w:val="tab"/>
      <w:lvlText w:val="%4."/>
      <w:lvlJc w:val="left"/>
      <w:pPr>
        <w:ind w:hanging="360" w:left="2880"/>
      </w:pPr>
      <w:rPr/>
    </w:lvl>
    <w:lvl w:ilvl="4" w:tplc="56D2B689">
      <w:start w:val="1"/>
      <w:numFmt w:val="decimal"/>
      <w:suff w:val="tab"/>
      <w:lvlText w:val="%5."/>
      <w:lvlJc w:val="left"/>
      <w:pPr>
        <w:ind w:hanging="360" w:left="3600"/>
      </w:pPr>
      <w:rPr/>
    </w:lvl>
    <w:lvl w:ilvl="5" w:tplc="14150145">
      <w:start w:val="1"/>
      <w:numFmt w:val="decimal"/>
      <w:suff w:val="tab"/>
      <w:lvlText w:val="%6."/>
      <w:lvlJc w:val="left"/>
      <w:pPr>
        <w:ind w:hanging="360" w:left="4320"/>
      </w:pPr>
      <w:rPr/>
    </w:lvl>
    <w:lvl w:ilvl="6" w:tplc="1AA789C6">
      <w:start w:val="1"/>
      <w:numFmt w:val="decimal"/>
      <w:suff w:val="tab"/>
      <w:lvlText w:val="%7."/>
      <w:lvlJc w:val="left"/>
      <w:pPr>
        <w:ind w:hanging="360" w:left="5040"/>
      </w:pPr>
      <w:rPr/>
    </w:lvl>
    <w:lvl w:ilvl="7" w:tplc="4DF7B3FC">
      <w:start w:val="1"/>
      <w:numFmt w:val="decimal"/>
      <w:suff w:val="tab"/>
      <w:lvlText w:val="%8."/>
      <w:lvlJc w:val="left"/>
      <w:pPr>
        <w:ind w:hanging="360" w:left="5760"/>
      </w:pPr>
      <w:rPr/>
    </w:lvl>
    <w:lvl w:ilvl="8" w:tplc="3A6C9908">
      <w:start w:val="1"/>
      <w:numFmt w:val="decimal"/>
      <w:suff w:val="tab"/>
      <w:lvlText w:val="%9."/>
      <w:lvlJc w:val="left"/>
      <w:pPr>
        <w:ind w:hanging="360" w:left="6480"/>
      </w:pPr>
      <w:rPr/>
    </w:lvl>
  </w:abstractNum>
  <w:abstractNum w:abstractNumId="1">
    <w:nsid w:val="56461602"/>
    <w:multiLevelType w:val="hybridMultilevel"/>
    <w:lvl w:ilvl="0" w:tplc="2317AAE5">
      <w:start w:val="1"/>
      <w:numFmt w:val="decimal"/>
      <w:suff w:val="tab"/>
      <w:lvlText w:val="%1."/>
      <w:lvlJc w:val="left"/>
      <w:pPr>
        <w:ind w:hanging="360" w:left="720"/>
      </w:pPr>
      <w:rPr/>
    </w:lvl>
    <w:lvl w:ilvl="1" w:tplc="74420D9E">
      <w:start w:val="1"/>
      <w:numFmt w:val="decimal"/>
      <w:suff w:val="tab"/>
      <w:lvlText w:val="%2."/>
      <w:lvlJc w:val="left"/>
      <w:pPr>
        <w:ind w:hanging="360" w:left="1440"/>
      </w:pPr>
      <w:rPr/>
    </w:lvl>
    <w:lvl w:ilvl="2" w:tplc="780D0CDC">
      <w:start w:val="1"/>
      <w:numFmt w:val="decimal"/>
      <w:suff w:val="tab"/>
      <w:lvlText w:val="%3."/>
      <w:lvlJc w:val="left"/>
      <w:pPr>
        <w:ind w:hanging="360" w:left="2160"/>
      </w:pPr>
      <w:rPr/>
    </w:lvl>
    <w:lvl w:ilvl="3" w:tplc="56F95BE5">
      <w:start w:val="1"/>
      <w:numFmt w:val="decimal"/>
      <w:suff w:val="tab"/>
      <w:lvlText w:val="%4."/>
      <w:lvlJc w:val="left"/>
      <w:pPr>
        <w:ind w:hanging="360" w:left="2880"/>
      </w:pPr>
      <w:rPr/>
    </w:lvl>
    <w:lvl w:ilvl="4" w:tplc="2129FD2D">
      <w:start w:val="1"/>
      <w:numFmt w:val="decimal"/>
      <w:suff w:val="tab"/>
      <w:lvlText w:val="%5."/>
      <w:lvlJc w:val="left"/>
      <w:pPr>
        <w:ind w:hanging="360" w:left="3600"/>
      </w:pPr>
      <w:rPr/>
    </w:lvl>
    <w:lvl w:ilvl="5" w:tplc="510865EF">
      <w:start w:val="1"/>
      <w:numFmt w:val="decimal"/>
      <w:suff w:val="tab"/>
      <w:lvlText w:val="%6."/>
      <w:lvlJc w:val="left"/>
      <w:pPr>
        <w:ind w:hanging="360" w:left="4320"/>
      </w:pPr>
      <w:rPr/>
    </w:lvl>
    <w:lvl w:ilvl="6" w:tplc="16CD49C2">
      <w:start w:val="1"/>
      <w:numFmt w:val="decimal"/>
      <w:suff w:val="tab"/>
      <w:lvlText w:val="%7."/>
      <w:lvlJc w:val="left"/>
      <w:pPr>
        <w:ind w:hanging="360" w:left="5040"/>
      </w:pPr>
      <w:rPr/>
    </w:lvl>
    <w:lvl w:ilvl="7" w:tplc="61186CE7">
      <w:start w:val="1"/>
      <w:numFmt w:val="decimal"/>
      <w:suff w:val="tab"/>
      <w:lvlText w:val="%8."/>
      <w:lvlJc w:val="left"/>
      <w:pPr>
        <w:ind w:hanging="360" w:left="5760"/>
      </w:pPr>
      <w:rPr/>
    </w:lvl>
    <w:lvl w:ilvl="8" w:tplc="63455BB2">
      <w:start w:val="1"/>
      <w:numFmt w:val="decimal"/>
      <w:suff w:val="tab"/>
      <w:lvlText w:val="%9."/>
      <w:lvlJc w:val="left"/>
      <w:pPr>
        <w:ind w:hanging="360" w:left="6480"/>
      </w:pPr>
      <w:rPr/>
    </w:lvl>
  </w:abstractNum>
  <w:abstractNum w:abstractNumId="2">
    <w:nsid w:val="6B7AC145"/>
    <w:multiLevelType w:val="hybridMultilevel"/>
    <w:lvl w:ilvl="0" w:tplc="01E20D22">
      <w:start w:val="1"/>
      <w:numFmt w:val="bullet"/>
      <w:suff w:val="tab"/>
      <w:lvlText w:val="·"/>
      <w:lvlJc w:val="left"/>
      <w:pPr>
        <w:ind w:hanging="360" w:left="720"/>
      </w:pPr>
      <w:rPr>
        <w:rFonts w:ascii="Symbol" w:hAnsi="Symbol" w:cs="Symbol" w:eastAsia="Symbol"/>
      </w:rPr>
    </w:lvl>
    <w:lvl w:ilvl="1" w:tplc="0AD213A2">
      <w:start w:val="1"/>
      <w:numFmt w:val="bullet"/>
      <w:suff w:val="tab"/>
      <w:lvlText w:val="o"/>
      <w:lvlJc w:val="left"/>
      <w:pPr>
        <w:ind w:hanging="360" w:left="1440"/>
      </w:pPr>
      <w:rPr>
        <w:rFonts w:ascii="Symbol" w:hAnsi="Symbol"/>
      </w:rPr>
    </w:lvl>
    <w:lvl w:ilvl="2" w:tplc="42FBD6B2">
      <w:start w:val="1"/>
      <w:numFmt w:val="bullet"/>
      <w:suff w:val="tab"/>
      <w:lvlText w:val="·"/>
      <w:lvlJc w:val="left"/>
      <w:pPr>
        <w:ind w:hanging="360" w:left="2160"/>
      </w:pPr>
      <w:rPr>
        <w:rFonts w:ascii="Symbol" w:hAnsi="Symbol"/>
      </w:rPr>
    </w:lvl>
    <w:lvl w:ilvl="3" w:tplc="0A92F0AF">
      <w:start w:val="1"/>
      <w:numFmt w:val="bullet"/>
      <w:suff w:val="tab"/>
      <w:lvlText w:val="o"/>
      <w:lvlJc w:val="left"/>
      <w:pPr>
        <w:ind w:hanging="360" w:left="2880"/>
      </w:pPr>
      <w:rPr>
        <w:rFonts w:ascii="Symbol" w:hAnsi="Symbol"/>
      </w:rPr>
    </w:lvl>
    <w:lvl w:ilvl="4" w:tplc="4294C668">
      <w:start w:val="1"/>
      <w:numFmt w:val="bullet"/>
      <w:suff w:val="tab"/>
      <w:lvlText w:val="·"/>
      <w:lvlJc w:val="left"/>
      <w:pPr>
        <w:ind w:hanging="360" w:left="3600"/>
      </w:pPr>
      <w:rPr>
        <w:rFonts w:ascii="Symbol" w:hAnsi="Symbol"/>
      </w:rPr>
    </w:lvl>
    <w:lvl w:ilvl="5" w:tplc="2F861F50">
      <w:start w:val="1"/>
      <w:numFmt w:val="bullet"/>
      <w:suff w:val="tab"/>
      <w:lvlText w:val="o"/>
      <w:lvlJc w:val="left"/>
      <w:pPr>
        <w:ind w:hanging="360" w:left="4320"/>
      </w:pPr>
      <w:rPr>
        <w:rFonts w:ascii="Symbol" w:hAnsi="Symbol"/>
      </w:rPr>
    </w:lvl>
    <w:lvl w:ilvl="6" w:tplc="5937CB55">
      <w:start w:val="1"/>
      <w:numFmt w:val="bullet"/>
      <w:suff w:val="tab"/>
      <w:lvlText w:val="·"/>
      <w:lvlJc w:val="left"/>
      <w:pPr>
        <w:ind w:hanging="360" w:left="5040"/>
      </w:pPr>
      <w:rPr>
        <w:rFonts w:ascii="Symbol" w:hAnsi="Symbol"/>
      </w:rPr>
    </w:lvl>
    <w:lvl w:ilvl="7" w:tplc="73C09C20">
      <w:start w:val="1"/>
      <w:numFmt w:val="bullet"/>
      <w:suff w:val="tab"/>
      <w:lvlText w:val="o"/>
      <w:lvlJc w:val="left"/>
      <w:pPr>
        <w:ind w:hanging="360" w:left="5760"/>
      </w:pPr>
      <w:rPr>
        <w:rFonts w:ascii="Symbol" w:hAnsi="Symbol"/>
      </w:rPr>
    </w:lvl>
    <w:lvl w:ilvl="8" w:tplc="1A6D7114">
      <w:start w:val="1"/>
      <w:numFmt w:val="bullet"/>
      <w:suff w:val="tab"/>
      <w:lvlText w:val="·"/>
      <w:lvlJc w:val="left"/>
      <w:pPr>
        <w:ind w:hanging="360" w:left="6480"/>
      </w:pPr>
      <w:rPr>
        <w:rFonts w:ascii="Symbol" w:hAnsi="Symbol"/>
      </w:rPr>
    </w:lvl>
  </w:abstractNum>
  <w:num w:numId="1">
    <w:abstractNumId w:val="0"/>
  </w:num>
  <w:num w:numId="2">
    <w:abstractNumId w:val="1"/>
  </w:num>
  <w:num w:numId="3">
    <w:abstractNumId w:val="2"/>
  </w:num>
</w:numbering>
</file>

<file path=word/settings.xml><?xml version="1.0" encoding="utf-8"?>
<w:settings xmlns:w="http://schemas.openxmlformats.org/wordprocessingml/2006/main">
  <w:displayBackgroundShape w:val="0"/>
  <w:defaultTabStop w:val="720"/>
  <w:autoHyphenation w:val="0"/>
  <w:evenAndOddHeaders w:val="0"/>
  <w:compat>
    <w:compatSetting w:name="compatibilityMode" w:uri="http://schemas.microsoft.com/office/word" w:val="12"/>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w:docDefaults>
    <w:rPrDefault>
      <w:rPr>
        <w:rFonts w:asciiTheme="minorHAnsi" w:hAnsiTheme="minorHAnsi" w:cstheme="minorBidi" w:eastAsiaTheme="minorEastAsia"/>
        <w:sz w:val="22"/>
        <w:szCs w:val="22"/>
      </w:rPr>
    </w:rPrDefault>
    <w:pPrDefault>
      <w:pPr>
        <w:keepNext w:val="0"/>
        <w:keepLines w:val="0"/>
        <w:pageBreakBefore w:val="0"/>
        <w:widowControl w:val="1"/>
        <w:suppressLineNumbers w:val="0"/>
        <w:shd w:val="clear" w:fill="auto"/>
        <w:suppressAutoHyphens w:val="0"/>
        <w:spacing w:lineRule="auto" w:line="240" w:before="0" w:after="0" w:beforeAutospacing="0" w:afterAutospacing="0"/>
        <w:ind w:firstLine="0" w:left="0" w:right="0"/>
        <w:contextualSpacing w:val="0"/>
        <w:bidi w:val="0"/>
        <w:jc w:val="left"/>
        <w:outlineLvl w:val="9"/>
      </w:pPr>
    </w:pPrDefault>
  </w:docDefaults>
  <w:style w:type="paragraph" w:styleId="P0" w:default="1">
    <w:name w:val="Normal"/>
    <w:pPr/>
    <w:rPr/>
  </w:style>
  <w:style w:type="character" w:styleId="C0" w:default="1">
    <w:name w:val="Default Paragraph Font"/>
    <w:semiHidden/>
    <w:rPr/>
  </w:style>
  <w:style w:type="character" w:styleId="C1">
    <w:name w:val="Line Number"/>
    <w:basedOn w:val="C0"/>
    <w:semiHidden/>
    <w:rPr/>
  </w:style>
  <w:style w:type="character" w:styleId="C2">
    <w:name w:val="Hyperlink"/>
    <w:rPr>
      <w:color w:val="0000FF"/>
      <w:u w:val="single"/>
    </w:rPr>
  </w:style>
  <w:style w:type="table" w:styleId="T0" w:default="1">
    <w:name w:val="Normal Table"/>
    <w:tblPr>
      <w:tblCellMar>
        <w:top w:w="0" w:type="dxa"/>
        <w:left w:w="108" w:type="dxa"/>
        <w:bottom w:w="0" w:type="dxa"/>
        <w:right w:w="108" w:type="dxa"/>
      </w:tblCellMar>
    </w:tblPr>
    <w:trPr/>
    <w:tcPr/>
  </w:style>
  <w:style w:type="table" w:styleId="T1">
    <w:name w:val="Table Simple 1"/>
    <w:basedOn w:val="T0"/>
    <w:tblPr>
      <w:tblBorders>
        <w:top w:val="single" w:sz="4" w:space="0" w:shadow="0" w:frame="0" w:color="000000"/>
        <w:left w:val="single" w:sz="4" w:space="0" w:shadow="0" w:frame="0" w:color="000000"/>
        <w:bottom w:val="single" w:sz="4" w:space="0" w:shadow="0" w:frame="0" w:color="000000"/>
        <w:right w:val="single" w:sz="4" w:space="0" w:shadow="0" w:frame="0" w:color="000000"/>
        <w:insideH w:val="single" w:sz="4" w:space="0" w:shadow="0" w:frame="0" w:color="000000"/>
        <w:insideV w:val="single" w:sz="4" w:space="0" w:shadow="0" w:frame="0" w:color="000000"/>
      </w:tblBorders>
      <w:tblCellMar>
        <w:top w:w="0" w:type="dxa"/>
        <w:left w:w="108" w:type="dxa"/>
        <w:bottom w:w="0" w:type="dxa"/>
        <w:right w:w="108" w:type="dxa"/>
      </w:tblCellMar>
    </w:tblPr>
    <w:trPr/>
    <w:tcPr/>
  </w:style>
</w:styles>
</file>

<file path=word/_rels/document.xml.rels>&#65279;<?xml version="1.0" encoding="utf-8"?><Relationships xmlns="http://schemas.openxmlformats.org/package/2006/relationships"><Relationship Id="Relimage1" Type="http://schemas.openxmlformats.org/officeDocument/2006/relationships/image" Target="/media/image1.png" /><Relationship Id="Relimage2" Type="http://schemas.openxmlformats.org/officeDocument/2006/relationships/image" Target="/media/image2.png" /><Relationship Id="R2" Type="http://schemas.openxmlformats.org/officeDocument/2006/relationships/hyperlink" Target="http://internet.garant.ru/document/redirect/12184447/3773" TargetMode="External" /><Relationship Id="RelStyle1" Type="http://schemas.openxmlformats.org/officeDocument/2006/relationships/styles" Target="styles.xml" /><Relationship Id="RelNum1" Type="http://schemas.openxmlformats.org/officeDocument/2006/relationships/numbering" Target="numbering.xml" /><Relationship Id="RelSettings1" Type="http://schemas.openxmlformats.org/officeDocument/2006/relationships/settings" Target="settings.xml" /><Relationship Id="RelTheme1"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7EAADF"/>
      </a:accent1>
      <a:accent2>
        <a:srgbClr val="EA726F"/>
      </a:accent2>
      <a:accent3>
        <a:srgbClr val="A9D774"/>
      </a:accent3>
      <a:accent4>
        <a:srgbClr val="A78BC9"/>
      </a:accent4>
      <a:accent5>
        <a:srgbClr val="78CBE1"/>
      </a:accent5>
      <a:accent6>
        <a:srgbClr val="FCBF8C"/>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theme>
</file>

<file path=docProps/app.xml><?xml version="1.0" encoding="utf-8"?>
<Properties xmlns="http://schemas.openxmlformats.org/officeDocument/2006/extended-properties">
  <Application>DevExpress Office File API/21.2.5.0</Application>
  <AppVersion>21.2</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Пользователь</dc:creator>
  <dcterms:created xsi:type="dcterms:W3CDTF">2025-03-18T13:38:37Z</dcterms:created>
  <cp:lastModifiedBy>Пользователь</cp:lastModifiedBy>
  <dcterms:modified xsi:type="dcterms:W3CDTF">2025-03-18T13:38:37Z</dcterms:modified>
  <cp:revision>2</cp:revision>
</cp:coreProperties>
</file>